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7" w:lineRule="exact"/>
        <w:jc w:val="left"/>
        <w:rPr>
          <w:rFonts w:ascii="黑体" w:hAnsi="宋体" w:eastAsia="黑体" w:cs="宋体"/>
          <w:kern w:val="0"/>
          <w:sz w:val="28"/>
          <w:szCs w:val="28"/>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r>
        <w:rPr>
          <w:rFonts w:hint="eastAsia" w:ascii="黑体" w:hAnsi="黑体" w:eastAsia="黑体" w:cs="黑体"/>
          <w:sz w:val="52"/>
          <w:szCs w:val="52"/>
        </w:rPr>
        <w:t>郑州市粮食局</w:t>
      </w:r>
    </w:p>
    <w:p>
      <w:pPr>
        <w:spacing w:line="567" w:lineRule="exact"/>
        <w:jc w:val="center"/>
        <w:rPr>
          <w:rFonts w:ascii="黑体" w:hAnsi="黑体" w:eastAsia="黑体" w:cs="黑体"/>
          <w:sz w:val="52"/>
          <w:szCs w:val="52"/>
        </w:rPr>
      </w:pPr>
      <w:r>
        <w:rPr>
          <w:rFonts w:hint="eastAsia" w:ascii="黑体" w:hAnsi="黑体" w:eastAsia="黑体" w:cs="黑体"/>
          <w:sz w:val="52"/>
          <w:szCs w:val="52"/>
        </w:rPr>
        <w:t>2017年度部门决算</w:t>
      </w: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32"/>
          <w:szCs w:val="32"/>
        </w:rPr>
        <w:sectPr>
          <w:footerReference r:id="rId4" w:type="default"/>
          <w:type w:val="continuous"/>
          <w:pgSz w:w="11906" w:h="16838"/>
          <w:pgMar w:top="2211" w:right="1418" w:bottom="1871" w:left="1531" w:header="850" w:footer="992" w:gutter="0"/>
          <w:cols w:space="720" w:num="1"/>
          <w:docGrid w:type="lines" w:linePitch="317"/>
        </w:sectPr>
      </w:pPr>
      <w:r>
        <w:rPr>
          <w:rFonts w:hint="eastAsia" w:ascii="黑体" w:hAnsi="黑体" w:eastAsia="黑体" w:cs="黑体"/>
          <w:sz w:val="32"/>
          <w:szCs w:val="32"/>
        </w:rPr>
        <w:t>二〇一八年十一月</w:t>
      </w: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rPr>
          <w:rFonts w:ascii="黑体" w:hAnsi="黑体" w:eastAsia="黑体" w:cs="黑体"/>
          <w:sz w:val="36"/>
          <w:szCs w:val="36"/>
        </w:rPr>
      </w:pPr>
    </w:p>
    <w:p>
      <w:pPr>
        <w:spacing w:line="567" w:lineRule="exact"/>
        <w:jc w:val="center"/>
        <w:rPr>
          <w:rFonts w:ascii="黑体" w:hAnsi="黑体" w:eastAsia="黑体" w:cs="黑体"/>
          <w:sz w:val="36"/>
          <w:szCs w:val="36"/>
        </w:rPr>
      </w:pPr>
      <w:r>
        <w:rPr>
          <w:rFonts w:hint="eastAsia" w:ascii="黑体" w:hAnsi="黑体" w:eastAsia="黑体" w:cs="黑体"/>
          <w:sz w:val="36"/>
          <w:szCs w:val="36"/>
        </w:rPr>
        <w:t>目　　录</w:t>
      </w:r>
    </w:p>
    <w:p>
      <w:pPr>
        <w:spacing w:line="567" w:lineRule="exact"/>
        <w:jc w:val="left"/>
        <w:rPr>
          <w:rFonts w:ascii="黑体" w:hAnsi="黑体" w:eastAsia="黑体" w:cs="黑体"/>
          <w:sz w:val="32"/>
          <w:szCs w:val="32"/>
        </w:rPr>
      </w:pP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第一部分　　部门概况</w:t>
      </w:r>
    </w:p>
    <w:p>
      <w:pPr>
        <w:numPr>
          <w:ilvl w:val="0"/>
          <w:numId w:val="1"/>
        </w:numPr>
        <w:spacing w:line="567" w:lineRule="exact"/>
        <w:ind w:firstLine="640" w:firstLineChars="200"/>
        <w:jc w:val="left"/>
        <w:rPr>
          <w:rFonts w:ascii="宋体" w:hAnsi="宋体" w:cs="宋体"/>
          <w:sz w:val="32"/>
          <w:szCs w:val="32"/>
        </w:rPr>
      </w:pPr>
      <w:r>
        <w:rPr>
          <w:rFonts w:hint="eastAsia" w:ascii="宋体" w:hAnsi="宋体" w:cs="宋体"/>
          <w:sz w:val="32"/>
          <w:szCs w:val="32"/>
        </w:rPr>
        <w:t>部门主要职责</w:t>
      </w:r>
    </w:p>
    <w:p>
      <w:pPr>
        <w:numPr>
          <w:ilvl w:val="0"/>
          <w:numId w:val="1"/>
        </w:numPr>
        <w:spacing w:line="567" w:lineRule="exact"/>
        <w:ind w:firstLine="640" w:firstLineChars="200"/>
        <w:jc w:val="left"/>
        <w:rPr>
          <w:rFonts w:ascii="宋体" w:hAnsi="宋体" w:cs="宋体"/>
          <w:sz w:val="32"/>
          <w:szCs w:val="32"/>
        </w:rPr>
      </w:pPr>
      <w:r>
        <w:rPr>
          <w:rFonts w:hint="eastAsia" w:ascii="宋体" w:hAnsi="宋体" w:cs="宋体"/>
          <w:sz w:val="32"/>
          <w:szCs w:val="32"/>
        </w:rPr>
        <w:t>机构基本情况</w:t>
      </w: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一、收入支出决算总表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二、收入决算表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三、支出决算表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spacing w:line="567" w:lineRule="exact"/>
        <w:jc w:val="left"/>
        <w:rPr>
          <w:rFonts w:ascii="黑体" w:hAnsi="黑体" w:eastAsia="黑体" w:cs="黑体"/>
          <w:sz w:val="32"/>
          <w:szCs w:val="32"/>
        </w:rPr>
      </w:pPr>
      <w:r>
        <w:rPr>
          <w:rFonts w:hint="eastAsia" w:ascii="黑体" w:hAnsi="黑体" w:eastAsia="黑体" w:cs="黑体"/>
          <w:sz w:val="32"/>
          <w:szCs w:val="32"/>
        </w:rPr>
        <w:t xml:space="preserve">   第三部分　　2017年度部门决算情况说明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二、关于收入决算情况说明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三、支出决算情况说明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八、预算绩效情况说明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spacing w:line="567" w:lineRule="exact"/>
        <w:ind w:firstLine="640" w:firstLineChars="200"/>
        <w:jc w:val="left"/>
        <w:rPr>
          <w:rFonts w:ascii="黑体" w:hAnsi="宋体" w:eastAsia="黑体" w:cs="宋体"/>
          <w:kern w:val="0"/>
          <w:sz w:val="28"/>
          <w:szCs w:val="28"/>
        </w:rPr>
        <w:sectPr>
          <w:footerReference r:id="rId5" w:type="default"/>
          <w:type w:val="continuous"/>
          <w:pgSz w:w="11906" w:h="16838"/>
          <w:pgMar w:top="2211" w:right="1418" w:bottom="1871" w:left="1531" w:header="720" w:footer="720" w:gutter="0"/>
          <w:cols w:space="720" w:num="1"/>
          <w:docGrid w:type="lines" w:linePitch="312"/>
        </w:sectPr>
      </w:pPr>
      <w:r>
        <w:rPr>
          <w:rFonts w:hint="eastAsia" w:ascii="黑体" w:hAnsi="黑体" w:eastAsia="黑体" w:cs="黑体"/>
          <w:sz w:val="32"/>
          <w:szCs w:val="32"/>
        </w:rPr>
        <w:t>第四部分　　名词解释</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center"/>
        <w:rPr>
          <w:rFonts w:ascii="黑体" w:hAnsi="宋体" w:eastAsia="黑体" w:cs="宋体"/>
          <w:kern w:val="0"/>
          <w:sz w:val="28"/>
          <w:szCs w:val="28"/>
        </w:rPr>
      </w:pPr>
      <w:r>
        <w:rPr>
          <w:rFonts w:hint="eastAsia" w:ascii="黑体" w:hAnsi="黑体" w:eastAsia="黑体" w:cs="黑体"/>
          <w:sz w:val="48"/>
          <w:szCs w:val="48"/>
        </w:rPr>
        <w:t>第一部分　　郑州市粮食局概况</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sectPr>
          <w:footerReference r:id="rId6" w:type="default"/>
          <w:type w:val="continuous"/>
          <w:pgSz w:w="11906" w:h="16838"/>
          <w:pgMar w:top="2211" w:right="1418" w:bottom="1871" w:left="1531" w:header="720" w:footer="720" w:gutter="0"/>
          <w:cols w:space="720" w:num="1"/>
          <w:docGrid w:type="lines" w:linePitch="312"/>
        </w:sectPr>
      </w:pPr>
    </w:p>
    <w:p>
      <w:pPr>
        <w:widowControl/>
        <w:spacing w:line="567"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一、部门主要职责</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根据《中共郑州市委郑州市人民政府关于市政府职能转变和机构改革的实施意见》（郑发[2014]30号），设立郑州市粮食局，为市政府工作部门，其主要职责是：</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1.贯彻执行国家粮食流通和粮油储备的方针、政策及法律、法规，研究提出现代粮食流通产业发展战略的建议，拟定全市粮食流通体制、地方粮油储备管理体制、国有粮食企业改革方案及管理规章，并监督执行。</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研究拟定并组织实施全市粮食调控和地方粮油储备中长期规划、粮油总量流通宏观平衡计划，承担粮油监测预警、应急和市级储备粮油行政管理责任，研究提出动用市级储备粮油的原则和建议。负责市级应急体系建设，完善粮食应急保障制度。负责全市粮食系统国家安全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负责全市粮油收购资格的核查、管理工作，指导协调最低收购价政策性粮食购销工作，指导全市军粮供应和粮食产销合作活动;研究拟定市级储备粮油规模、总体布局和收购、销售计划，审批市级储备粮油轮换计划并监督实施。</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制定全市粮食流通监督检查制度。监督检查《粮食流通管理条例》及国家有关政策的贯彻落实、市级储备粮油数量、质量和储存安全情况，监督检查粮食经营者从事粮食收购、储存、运输、政策性用粮购销活动，以及执行国家粮食流通统计制度情况。</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负责全市粮食流通市场体系建设和科技进步、技术创新、产业升级工作、制定全市粮油加工业发展规划，指导粮油加工行业管理和质量、计量、标准管理、监督工作，配合有关部门打击粮油商品生产经营中的假冒伪劣行为。</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6.指导行业利用外资、引进技术设备及对外经济技术合作与交流工作;制定全市粮油仓储、加工等流通设施建设规划和技术管理办法，并组织实施;管理粮食流通设施市级投资项目。</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7.指导全市粮食系统财务和内部审计工作;指导全市国有粮食企业改革工作;负责市粮食局直属企事业单位的财务和内部审计工作，监管市粮食局直属企事业单位的国有资产。</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8.拟订并监督执行全市粮食流通和市级储备粮油管理的政策法规及规范性文件;拟订市粮油质量检验制度及有关技术规范;按照有关规定，审批市级储备粮代储企业资格。</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9.指导全市粮食产业化经营、多种经营、连锁经营、"三产"发展、主食厨房工程、放心粮油工程、农村社会化服务体系建设工作;负责培育发展全市粮油食品产业化龙头企业。</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10.负责全市粮食系统职业道德教育、政风、行风建设及精神文明建设;指导行业安全生产、信访稳定工作;管理市粮食行业协会、经济学会等社团组织。</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11.负责局机关及直属单位的人事、机构编制管理;组织实施全市粮食系统教育发展规划，指导行业教育培训工作。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12.负责全社会粮食流通统计、粮油产业、粮油基础设施建设统计及粮油价格信息监测工作。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13.指导各县(市、区)各项粮食业务工作、监督检查依法治粮工作。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14.做好已取消行政审批事项的服务和监管工作。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15.承办市政府交办的其他事项。</w:t>
      </w:r>
    </w:p>
    <w:p>
      <w:pPr>
        <w:widowControl/>
        <w:spacing w:line="567"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二、机构基本情况</w:t>
      </w:r>
    </w:p>
    <w:p>
      <w:pPr>
        <w:widowControl/>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郑州市粮食局有二级预算单位4个，三级预算单位0个。本决算为汇总决算，纳入本部门2017年度部门决算编报范围的二级预算单位如下：</w:t>
      </w:r>
    </w:p>
    <w:p>
      <w:pPr>
        <w:widowControl/>
        <w:numPr>
          <w:ilvl w:val="0"/>
          <w:numId w:val="2"/>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郑州市粮食局本级</w:t>
      </w:r>
    </w:p>
    <w:p>
      <w:pPr>
        <w:widowControl/>
        <w:numPr>
          <w:ilvl w:val="0"/>
          <w:numId w:val="2"/>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郑州市粮食科学研究所</w:t>
      </w:r>
    </w:p>
    <w:p>
      <w:pPr>
        <w:widowControl/>
        <w:numPr>
          <w:ilvl w:val="0"/>
          <w:numId w:val="2"/>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郑州市军粮供应管理中心</w:t>
      </w:r>
    </w:p>
    <w:p>
      <w:pPr>
        <w:widowControl/>
        <w:numPr>
          <w:ilvl w:val="0"/>
          <w:numId w:val="2"/>
        </w:numPr>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郑州市粮食局信息中心</w:t>
      </w:r>
    </w:p>
    <w:p>
      <w:pPr>
        <w:widowControl/>
        <w:spacing w:line="567"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我部门人员构成情况如下：</w:t>
      </w:r>
    </w:p>
    <w:p>
      <w:pPr>
        <w:widowControl/>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粮食局本级：2016年编制55人，在职人员39人，离退休人员100人。2017年编制56人，变动原因为新增一个行政编制；在职人员41人，变动原因为新遴选了公务员；离退休人员86人，变动原因为今年离退休人员不包含信息中心人数。</w:t>
      </w:r>
    </w:p>
    <w:p>
      <w:pPr>
        <w:widowControl/>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郑州市粮食科学研究所：2016年编制人数12人，在职人数9人，退休人数5人；2017年编制人数12人，在职人数10人，在职增加原因为其公开招聘2人；2017年离退休人数为6人，增加的一人为在职转退休。</w:t>
      </w:r>
    </w:p>
    <w:p>
      <w:pPr>
        <w:widowControl/>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郑州市军粮供应管理中心：2016年编制人数为15人，在职人数为13人，离退休人数为3人；2017年编制人数为15人，在职人数为12人，离退休人数为4人，变化原因为2017年10月其单位有1名在职人员在职转退休。</w:t>
      </w:r>
    </w:p>
    <w:p>
      <w:pPr>
        <w:widowControl/>
        <w:spacing w:line="567"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郑州市粮食局信息中心：信息中心在职12人，离退休14人。</w:t>
      </w:r>
    </w:p>
    <w:p>
      <w:pPr>
        <w:widowControl/>
        <w:spacing w:line="567" w:lineRule="exact"/>
        <w:ind w:firstLine="640" w:firstLineChars="200"/>
        <w:jc w:val="left"/>
        <w:rPr>
          <w:rFonts w:ascii="仿宋_GB2312" w:hAnsi="仿宋_GB2312" w:eastAsia="仿宋_GB2312" w:cs="仿宋_GB2312"/>
          <w:kern w:val="0"/>
          <w:sz w:val="32"/>
          <w:szCs w:val="32"/>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sectPr>
          <w:footerReference r:id="rId7" w:type="default"/>
          <w:type w:val="continuous"/>
          <w:pgSz w:w="11906" w:h="16838"/>
          <w:pgMar w:top="2211" w:right="1418" w:bottom="1871" w:left="1531" w:header="720" w:footer="720" w:gutter="0"/>
          <w:cols w:space="720" w:num="1"/>
          <w:docGrid w:type="lines" w:linePitch="312"/>
        </w:sect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第二部分</w:t>
      </w:r>
    </w:p>
    <w:p>
      <w:pPr>
        <w:spacing w:line="567" w:lineRule="exact"/>
        <w:jc w:val="center"/>
        <w:rPr>
          <w:rFonts w:ascii="黑体" w:hAnsi="黑体" w:eastAsia="黑体" w:cs="黑体"/>
          <w:sz w:val="48"/>
          <w:szCs w:val="48"/>
        </w:rPr>
      </w:pPr>
      <w:r>
        <w:rPr>
          <w:rFonts w:hint="eastAsia" w:ascii="黑体" w:hAnsi="黑体" w:eastAsia="黑体" w:cs="黑体"/>
          <w:sz w:val="48"/>
          <w:szCs w:val="48"/>
        </w:rPr>
        <w:t>2017年度部门决算表</w:t>
      </w:r>
    </w:p>
    <w:p>
      <w:pPr>
        <w:widowControl/>
        <w:spacing w:line="567" w:lineRule="exact"/>
        <w:jc w:val="left"/>
        <w:rPr>
          <w:rFonts w:ascii="黑体" w:hAnsi="宋体" w:eastAsia="黑体" w:cs="宋体"/>
          <w:kern w:val="0"/>
          <w:sz w:val="28"/>
          <w:szCs w:val="28"/>
        </w:rPr>
      </w:pPr>
    </w:p>
    <w:p>
      <w:pPr>
        <w:spacing w:line="567" w:lineRule="exact"/>
        <w:rPr>
          <w:rFonts w:ascii="仿宋_GB2312" w:hAnsi="仿宋_GB2312" w:eastAsia="仿宋_GB2312" w:cs="仿宋_GB2312"/>
          <w:sz w:val="32"/>
          <w:szCs w:val="32"/>
        </w:rPr>
        <w:sectPr>
          <w:footerReference r:id="rId8" w:type="default"/>
          <w:type w:val="continuous"/>
          <w:pgSz w:w="11906" w:h="16838"/>
          <w:pgMar w:top="2211" w:right="1418" w:bottom="1871" w:left="1531" w:header="720" w:footer="720" w:gutter="0"/>
          <w:cols w:space="720" w:num="1"/>
          <w:docGrid w:type="lines" w:linePitch="312"/>
        </w:sectPr>
      </w:pPr>
    </w:p>
    <w:tbl>
      <w:tblPr>
        <w:tblW w:w="9357" w:type="dxa"/>
        <w:tblInd w:w="-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66"/>
        <w:gridCol w:w="645"/>
        <w:gridCol w:w="642"/>
        <w:gridCol w:w="472"/>
        <w:gridCol w:w="845"/>
        <w:gridCol w:w="2796"/>
        <w:gridCol w:w="495"/>
        <w:gridCol w:w="324"/>
        <w:gridCol w:w="527"/>
        <w:gridCol w:w="1245"/>
      </w:tblGrid>
      <w:tr>
        <w:trPr>
          <w:trHeight w:val="375" w:hRule="atLeast"/>
        </w:trPr>
        <w:tc>
          <w:tcPr>
            <w:tcW w:w="9357" w:type="dxa"/>
            <w:gridSpan w:val="10"/>
            <w:vAlign w:val="center"/>
          </w:tcPr>
          <w:p>
            <w:pPr>
              <w:widowControl/>
              <w:spacing w:line="567" w:lineRule="exact"/>
              <w:jc w:val="center"/>
              <w:textAlignment w:val="center"/>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收入支出决算总表</w:t>
            </w:r>
          </w:p>
        </w:tc>
      </w:tr>
      <w:tr>
        <w:trPr>
          <w:trHeight w:val="315" w:hRule="atLeast"/>
        </w:trPr>
        <w:tc>
          <w:tcPr>
            <w:tcW w:w="2653" w:type="dxa"/>
            <w:gridSpan w:val="3"/>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w:t>
            </w:r>
          </w:p>
        </w:tc>
        <w:tc>
          <w:tcPr>
            <w:tcW w:w="472" w:type="dxa"/>
            <w:vAlign w:val="center"/>
          </w:tcPr>
          <w:p>
            <w:pPr>
              <w:spacing w:line="567" w:lineRule="exact"/>
              <w:jc w:val="center"/>
              <w:rPr>
                <w:rFonts w:ascii="Times New Roman" w:hAnsi="Times New Roman" w:cs="宋体"/>
                <w:color w:val="000000"/>
                <w:sz w:val="16"/>
                <w:szCs w:val="16"/>
              </w:rPr>
            </w:pPr>
          </w:p>
        </w:tc>
        <w:tc>
          <w:tcPr>
            <w:tcW w:w="845" w:type="dxa"/>
            <w:vAlign w:val="center"/>
          </w:tcPr>
          <w:p>
            <w:pPr>
              <w:spacing w:line="567" w:lineRule="exact"/>
              <w:jc w:val="center"/>
              <w:rPr>
                <w:rFonts w:ascii="Times New Roman" w:hAnsi="Times New Roman" w:cs="宋体"/>
                <w:color w:val="000000"/>
                <w:sz w:val="16"/>
                <w:szCs w:val="16"/>
              </w:rPr>
            </w:pPr>
          </w:p>
        </w:tc>
        <w:tc>
          <w:tcPr>
            <w:tcW w:w="3615" w:type="dxa"/>
            <w:gridSpan w:val="3"/>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公开01表</w:t>
            </w:r>
          </w:p>
        </w:tc>
      </w:tr>
      <w:tr>
        <w:trPr>
          <w:trHeight w:val="315" w:hRule="atLeast"/>
        </w:trPr>
        <w:tc>
          <w:tcPr>
            <w:tcW w:w="2653" w:type="dxa"/>
            <w:gridSpan w:val="3"/>
            <w:vAlign w:val="center"/>
          </w:tcPr>
          <w:p>
            <w:pPr>
              <w:spacing w:line="567" w:lineRule="exact"/>
              <w:jc w:val="lef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472" w:type="dxa"/>
            <w:vAlign w:val="center"/>
          </w:tcPr>
          <w:p>
            <w:pPr>
              <w:spacing w:line="567" w:lineRule="exact"/>
              <w:jc w:val="center"/>
              <w:rPr>
                <w:rFonts w:ascii="Times New Roman" w:hAnsi="Times New Roman" w:cs="宋体"/>
                <w:color w:val="000000"/>
                <w:sz w:val="16"/>
                <w:szCs w:val="16"/>
              </w:rPr>
            </w:pPr>
          </w:p>
        </w:tc>
        <w:tc>
          <w:tcPr>
            <w:tcW w:w="845" w:type="dxa"/>
            <w:vAlign w:val="center"/>
          </w:tcPr>
          <w:p>
            <w:pPr>
              <w:spacing w:line="567" w:lineRule="exact"/>
              <w:jc w:val="center"/>
              <w:rPr>
                <w:rFonts w:ascii="Times New Roman" w:hAnsi="Times New Roman" w:cs="宋体"/>
                <w:color w:val="000000"/>
                <w:sz w:val="16"/>
                <w:szCs w:val="16"/>
              </w:rPr>
            </w:pPr>
          </w:p>
        </w:tc>
        <w:tc>
          <w:tcPr>
            <w:tcW w:w="3615" w:type="dxa"/>
            <w:gridSpan w:val="3"/>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rPr>
          <w:trHeight w:val="300" w:hRule="atLeast"/>
        </w:trPr>
        <w:tc>
          <w:tcPr>
            <w:tcW w:w="3970" w:type="dxa"/>
            <w:gridSpan w:val="5"/>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收　　入</w:t>
            </w:r>
          </w:p>
        </w:tc>
        <w:tc>
          <w:tcPr>
            <w:tcW w:w="5387" w:type="dxa"/>
            <w:gridSpan w:val="5"/>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支　　出</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行次</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行次</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3236.05</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45.18</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471.39</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9</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34.25</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10</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19</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67.42</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2696.65</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r>
              <w:rPr>
                <w:rFonts w:hint="eastAsia" w:ascii="Times New Roman" w:hAnsi="Times New Roman" w:cs="宋体"/>
                <w:b/>
                <w:color w:val="000000"/>
                <w:sz w:val="16"/>
                <w:szCs w:val="16"/>
              </w:rPr>
              <w:t>3281.23</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b/>
                <w:color w:val="000000"/>
                <w:sz w:val="16"/>
                <w:szCs w:val="16"/>
              </w:rPr>
            </w:pPr>
            <w:r>
              <w:rPr>
                <w:rFonts w:hint="eastAsia" w:ascii="Times New Roman" w:hAnsi="Times New Roman" w:cs="宋体"/>
                <w:b/>
                <w:color w:val="000000"/>
                <w:sz w:val="16"/>
                <w:szCs w:val="16"/>
              </w:rPr>
              <w:t>3269.71</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0.12</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11.64</w:t>
            </w:r>
          </w:p>
        </w:tc>
      </w:tr>
      <w:tr>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rPr>
          <w:trHeight w:val="300" w:hRule="atLeast"/>
        </w:trPr>
        <w:tc>
          <w:tcPr>
            <w:tcW w:w="1366"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29</w:t>
            </w:r>
          </w:p>
        </w:tc>
        <w:tc>
          <w:tcPr>
            <w:tcW w:w="1959" w:type="dxa"/>
            <w:gridSpan w:val="3"/>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b/>
                <w:color w:val="000000"/>
                <w:sz w:val="16"/>
                <w:szCs w:val="16"/>
              </w:rPr>
            </w:pPr>
            <w:r>
              <w:rPr>
                <w:rFonts w:hint="eastAsia" w:ascii="Times New Roman" w:hAnsi="Times New Roman" w:cs="宋体"/>
                <w:b/>
                <w:color w:val="000000"/>
                <w:sz w:val="16"/>
                <w:szCs w:val="16"/>
              </w:rPr>
              <w:t>3281.35</w:t>
            </w:r>
          </w:p>
        </w:tc>
        <w:tc>
          <w:tcPr>
            <w:tcW w:w="2796"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58</w:t>
            </w:r>
          </w:p>
        </w:tc>
        <w:tc>
          <w:tcPr>
            <w:tcW w:w="2096" w:type="dxa"/>
            <w:gridSpan w:val="3"/>
            <w:tcBorders>
              <w:top w:val="single" w:color="000000" w:sz="4" w:space="0"/>
              <w:left w:val="single" w:color="000000" w:sz="4" w:space="0"/>
              <w:bottom w:val="single" w:color="000000" w:sz="12" w:space="0"/>
              <w:right w:val="single" w:color="000000" w:sz="12" w:space="0"/>
            </w:tcBorders>
            <w:vAlign w:val="center"/>
          </w:tcPr>
          <w:p>
            <w:pPr>
              <w:spacing w:line="567" w:lineRule="exact"/>
              <w:rPr>
                <w:rFonts w:ascii="Times New Roman" w:hAnsi="Times New Roman" w:cs="宋体"/>
                <w:b/>
                <w:color w:val="000000"/>
                <w:sz w:val="16"/>
                <w:szCs w:val="16"/>
              </w:rPr>
            </w:pPr>
            <w:r>
              <w:rPr>
                <w:rFonts w:hint="eastAsia" w:ascii="Times New Roman" w:hAnsi="Times New Roman" w:cs="宋体"/>
                <w:b/>
                <w:color w:val="000000"/>
                <w:sz w:val="16"/>
                <w:szCs w:val="16"/>
              </w:rPr>
              <w:t>3281.35</w:t>
            </w:r>
          </w:p>
        </w:tc>
      </w:tr>
      <w:tr>
        <w:trPr>
          <w:trHeight w:val="555" w:hRule="atLeast"/>
        </w:trPr>
        <w:tc>
          <w:tcPr>
            <w:tcW w:w="9357" w:type="dxa"/>
            <w:gridSpan w:val="10"/>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注：本表反映部门本年度的总收支和年末结转结余情况。</w:t>
            </w:r>
          </w:p>
        </w:tc>
      </w:tr>
    </w:tbl>
    <w:p>
      <w:pPr>
        <w:spacing w:line="567" w:lineRule="exact"/>
        <w:rPr>
          <w:rFonts w:ascii="Times New Roman" w:hAnsi="Times New Roman"/>
        </w:rPr>
      </w:pPr>
    </w:p>
    <w:tbl>
      <w:tblPr>
        <w:tblW w:w="10320" w:type="dxa"/>
        <w:tblInd w:w="-9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938"/>
        <w:gridCol w:w="709"/>
        <w:gridCol w:w="1041"/>
        <w:gridCol w:w="97"/>
        <w:gridCol w:w="902"/>
        <w:gridCol w:w="236"/>
        <w:gridCol w:w="763"/>
        <w:gridCol w:w="375"/>
        <w:gridCol w:w="624"/>
        <w:gridCol w:w="514"/>
        <w:gridCol w:w="485"/>
        <w:gridCol w:w="672"/>
        <w:gridCol w:w="327"/>
        <w:gridCol w:w="792"/>
        <w:gridCol w:w="1140"/>
      </w:tblGrid>
      <w:tr>
        <w:trPr>
          <w:trHeight w:val="375" w:hRule="atLeast"/>
        </w:trPr>
        <w:tc>
          <w:tcPr>
            <w:tcW w:w="10320" w:type="dxa"/>
            <w:gridSpan w:val="16"/>
            <w:vAlign w:val="center"/>
          </w:tcPr>
          <w:p>
            <w:pPr>
              <w:widowControl/>
              <w:spacing w:line="567" w:lineRule="exact"/>
              <w:jc w:val="center"/>
              <w:textAlignment w:val="center"/>
              <w:rPr>
                <w:rFonts w:ascii="Times New Roman" w:hAnsi="Times New Roman" w:eastAsia="黑体"/>
                <w:color w:val="000000"/>
                <w:sz w:val="28"/>
                <w:szCs w:val="28"/>
              </w:rPr>
            </w:pPr>
            <w:r>
              <w:rPr>
                <w:rFonts w:hint="eastAsia" w:ascii="Times New Roman" w:hAnsi="Times New Roman" w:eastAsia="黑体"/>
                <w:color w:val="000000"/>
                <w:kern w:val="0"/>
                <w:sz w:val="28"/>
                <w:szCs w:val="28"/>
              </w:rPr>
              <w:t>收入决算表</w:t>
            </w:r>
          </w:p>
        </w:tc>
      </w:tr>
      <w:tr>
        <w:trPr>
          <w:trHeight w:val="315" w:hRule="atLeast"/>
        </w:trPr>
        <w:tc>
          <w:tcPr>
            <w:tcW w:w="1643" w:type="dxa"/>
            <w:gridSpan w:val="2"/>
            <w:vAlign w:val="center"/>
          </w:tcPr>
          <w:p>
            <w:pPr>
              <w:spacing w:line="567" w:lineRule="exact"/>
              <w:rPr>
                <w:rFonts w:ascii="Times New Roman" w:hAnsi="Times New Roman"/>
                <w:color w:val="000000"/>
                <w:sz w:val="16"/>
                <w:szCs w:val="16"/>
              </w:rPr>
            </w:pPr>
          </w:p>
        </w:tc>
        <w:tc>
          <w:tcPr>
            <w:tcW w:w="709" w:type="dxa"/>
            <w:vAlign w:val="center"/>
          </w:tcPr>
          <w:p>
            <w:pPr>
              <w:spacing w:line="567" w:lineRule="exact"/>
              <w:jc w:val="center"/>
              <w:rPr>
                <w:rFonts w:ascii="Times New Roman" w:hAnsi="Times New Roman"/>
                <w:color w:val="000000"/>
                <w:sz w:val="16"/>
                <w:szCs w:val="16"/>
              </w:rPr>
            </w:pPr>
          </w:p>
        </w:tc>
        <w:tc>
          <w:tcPr>
            <w:tcW w:w="104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公开02表</w:t>
            </w:r>
          </w:p>
        </w:tc>
      </w:tr>
      <w:tr>
        <w:trPr>
          <w:trHeight w:val="315" w:hRule="atLeast"/>
        </w:trPr>
        <w:tc>
          <w:tcPr>
            <w:tcW w:w="1643" w:type="dxa"/>
            <w:gridSpan w:val="2"/>
            <w:vAlign w:val="center"/>
          </w:tcPr>
          <w:p>
            <w:pPr>
              <w:spacing w:line="567" w:lineRule="exact"/>
              <w:rPr>
                <w:rFonts w:ascii="Times New Roman" w:hAnsi="Times New Roman"/>
                <w:color w:val="000000"/>
                <w:sz w:val="16"/>
                <w:szCs w:val="16"/>
              </w:rPr>
            </w:pPr>
            <w:r>
              <w:rPr>
                <w:rFonts w:hint="eastAsia" w:ascii="Times New Roman" w:hAnsi="Times New Roman" w:cs="宋体"/>
                <w:color w:val="000000"/>
                <w:sz w:val="16"/>
                <w:szCs w:val="16"/>
              </w:rPr>
              <w:t>部门：</w:t>
            </w:r>
          </w:p>
        </w:tc>
        <w:tc>
          <w:tcPr>
            <w:tcW w:w="709"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04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rPr>
          <w:trHeight w:val="300" w:hRule="atLeast"/>
        </w:trPr>
        <w:tc>
          <w:tcPr>
            <w:tcW w:w="2352"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本年收入合计</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财政拨款收入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上级补助收入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事业收入</w:t>
            </w:r>
          </w:p>
        </w:tc>
        <w:tc>
          <w:tcPr>
            <w:tcW w:w="1157"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经营收入</w:t>
            </w:r>
          </w:p>
        </w:tc>
        <w:tc>
          <w:tcPr>
            <w:tcW w:w="1119"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附属单位</w:t>
            </w:r>
            <w:r>
              <w:rPr>
                <w:rFonts w:hint="eastAsia" w:ascii="Times New Roman" w:hAnsi="Times New Roman"/>
                <w:b/>
                <w:bCs/>
                <w:color w:val="000000"/>
                <w:kern w:val="0"/>
                <w:sz w:val="16"/>
                <w:szCs w:val="16"/>
              </w:rPr>
              <w:br/>
            </w:r>
            <w:r>
              <w:rPr>
                <w:rFonts w:hint="eastAsia" w:ascii="Times New Roman" w:hAnsi="Times New Roman"/>
                <w:b/>
                <w:bCs/>
                <w:color w:val="000000"/>
                <w:kern w:val="0"/>
                <w:sz w:val="16"/>
                <w:szCs w:val="16"/>
              </w:rPr>
              <w:t>上缴收入</w:t>
            </w:r>
          </w:p>
        </w:tc>
        <w:tc>
          <w:tcPr>
            <w:tcW w:w="1140" w:type="dxa"/>
            <w:vMerge w:val="restart"/>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其他收入</w:t>
            </w:r>
          </w:p>
        </w:tc>
      </w:tr>
      <w:tr>
        <w:trPr>
          <w:trHeight w:val="6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功能分类</w:t>
            </w:r>
            <w:r>
              <w:rPr>
                <w:rFonts w:hint="eastAsia" w:ascii="Times New Roman" w:hAnsi="Times New Roman"/>
                <w:b/>
                <w:bCs/>
                <w:color w:val="000000"/>
                <w:kern w:val="0"/>
                <w:sz w:val="16"/>
                <w:szCs w:val="16"/>
              </w:rPr>
              <w:br/>
            </w:r>
            <w:r>
              <w:rPr>
                <w:rFonts w:hint="eastAsia" w:ascii="Times New Roman" w:hAnsi="Times New Roman"/>
                <w:b/>
                <w:bCs/>
                <w:color w:val="000000"/>
                <w:kern w:val="0"/>
                <w:sz w:val="16"/>
                <w:szCs w:val="16"/>
              </w:rPr>
              <w:t>科目编码</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科目名称</w:t>
            </w: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57"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19"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40" w:type="dxa"/>
            <w:vMerge w:val="continue"/>
            <w:tcBorders>
              <w:top w:val="single" w:color="000000" w:sz="12" w:space="0"/>
              <w:left w:val="nil"/>
              <w:bottom w:val="single" w:color="000000" w:sz="4" w:space="0"/>
              <w:right w:val="single" w:color="000000" w:sz="12" w:space="0"/>
            </w:tcBorders>
            <w:vAlign w:val="center"/>
          </w:tcPr>
          <w:p>
            <w:pPr>
              <w:widowControl/>
              <w:spacing w:line="567" w:lineRule="exact"/>
              <w:jc w:val="center"/>
              <w:rPr>
                <w:rFonts w:ascii="Times New Roman" w:hAnsi="Times New Roman"/>
                <w:b/>
                <w:bCs/>
                <w:color w:val="000000"/>
                <w:sz w:val="16"/>
                <w:szCs w:val="16"/>
              </w:rPr>
            </w:pPr>
          </w:p>
        </w:tc>
      </w:tr>
      <w:tr>
        <w:trPr>
          <w:trHeight w:val="300" w:hRule="atLeast"/>
        </w:trPr>
        <w:tc>
          <w:tcPr>
            <w:tcW w:w="2352"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7</w:t>
            </w:r>
          </w:p>
        </w:tc>
      </w:tr>
      <w:tr>
        <w:trPr>
          <w:trHeight w:val="300" w:hRule="atLeast"/>
        </w:trPr>
        <w:tc>
          <w:tcPr>
            <w:tcW w:w="2352"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3281.23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3236.05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45.18</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208</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社会保障和就业支出</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471.39</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471.39</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行政事业单位离退休</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431.35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431.35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2080501</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归口管理的行政单位离退休</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321.17</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321.17</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2080502</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事业单位离退休</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26.01</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26.01</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2080505</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机关事业单位基本养老保险缴费支出</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84.17</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84.17</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20809</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kern w:val="0"/>
                <w:sz w:val="16"/>
                <w:szCs w:val="16"/>
              </w:rPr>
              <w:t>退役安置</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2080901</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退役士兵安置</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210</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医疗卫生与计划生育支出</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34.25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34.25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21011</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行政事业单位医疗</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34.25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34.25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r>
      <w:tr>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2101101</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行政单位医疗</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23.92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23.92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57"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0</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2101102</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事业单位医疗</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10.32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10.32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221</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住房保障支出</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22102</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住房改革支出</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2210201</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住房公积金</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粮油物资储备支出</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2708.17</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2662.99</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45.18</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22201</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粮油事务</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2480.17</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2434.99</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45.18</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2220101</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行政运行</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872.11</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872.11</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2220105</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粮食信息统计</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53.63</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24.21</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29.42</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2220150</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事业运行</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361.29</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349.77</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11.52</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2220199</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其他粮油事务支出</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1193.15</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1188.90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4.25</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22204</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粮油储备</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2220401</w:t>
            </w:r>
          </w:p>
        </w:tc>
        <w:tc>
          <w:tcPr>
            <w:tcW w:w="164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储备粮油补贴</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57"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19"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60" w:hRule="atLeast"/>
        </w:trPr>
        <w:tc>
          <w:tcPr>
            <w:tcW w:w="10320" w:type="dxa"/>
            <w:gridSpan w:val="16"/>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注：本表反映部门本年度取得的各项收入情况。</w:t>
            </w:r>
          </w:p>
        </w:tc>
      </w:tr>
    </w:tbl>
    <w:p>
      <w:pPr>
        <w:spacing w:line="567" w:lineRule="exact"/>
        <w:rPr>
          <w:rFonts w:ascii="Times New Roman" w:hAnsi="Times New Roman"/>
        </w:rPr>
        <w:sectPr>
          <w:footerReference r:id="rId9" w:type="default"/>
          <w:type w:val="continuous"/>
          <w:pgSz w:w="11906" w:h="16838"/>
          <w:pgMar w:top="2211" w:right="1418" w:bottom="1871" w:left="1531" w:header="720" w:footer="1120" w:gutter="0"/>
          <w:cols w:space="720" w:num="1"/>
          <w:docGrid w:type="lines" w:linePitch="312"/>
        </w:sectPr>
      </w:pPr>
    </w:p>
    <w:tbl>
      <w:tblPr>
        <w:tblW w:w="10335" w:type="dxa"/>
        <w:tblInd w:w="-9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992"/>
        <w:gridCol w:w="1519"/>
        <w:gridCol w:w="1161"/>
        <w:gridCol w:w="23"/>
        <w:gridCol w:w="976"/>
        <w:gridCol w:w="208"/>
        <w:gridCol w:w="791"/>
        <w:gridCol w:w="393"/>
        <w:gridCol w:w="606"/>
        <w:gridCol w:w="578"/>
        <w:gridCol w:w="421"/>
        <w:gridCol w:w="763"/>
        <w:gridCol w:w="1184"/>
      </w:tblGrid>
      <w:tr>
        <w:trPr>
          <w:trHeight w:val="375" w:hRule="atLeast"/>
        </w:trPr>
        <w:tc>
          <w:tcPr>
            <w:tcW w:w="10335" w:type="dxa"/>
            <w:gridSpan w:val="14"/>
            <w:vAlign w:val="center"/>
          </w:tcPr>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kern w:val="0"/>
                <w:sz w:val="28"/>
                <w:szCs w:val="28"/>
              </w:rPr>
            </w:pPr>
          </w:p>
          <w:p>
            <w:pPr>
              <w:spacing w:line="567" w:lineRule="exact"/>
              <w:jc w:val="center"/>
              <w:rPr>
                <w:rFonts w:ascii="Times New Roman" w:hAnsi="Times New Roman" w:eastAsia="黑体"/>
                <w:color w:val="000000"/>
                <w:sz w:val="28"/>
                <w:szCs w:val="28"/>
              </w:rPr>
            </w:pPr>
            <w:r>
              <w:rPr>
                <w:rFonts w:hint="eastAsia" w:ascii="Times New Roman" w:hAnsi="Times New Roman" w:eastAsia="黑体"/>
                <w:color w:val="000000"/>
                <w:kern w:val="0"/>
                <w:sz w:val="28"/>
                <w:szCs w:val="28"/>
              </w:rPr>
              <w:t>支出决算表</w:t>
            </w:r>
          </w:p>
        </w:tc>
      </w:tr>
      <w:tr>
        <w:trPr>
          <w:trHeight w:val="315" w:hRule="atLeast"/>
        </w:trPr>
        <w:tc>
          <w:tcPr>
            <w:tcW w:w="1712" w:type="dxa"/>
            <w:gridSpan w:val="2"/>
            <w:vAlign w:val="center"/>
          </w:tcPr>
          <w:p>
            <w:pPr>
              <w:spacing w:line="567" w:lineRule="exact"/>
              <w:jc w:val="center"/>
              <w:rPr>
                <w:rFonts w:ascii="Times New Roman" w:hAnsi="Times New Roman"/>
                <w:color w:val="000000"/>
                <w:sz w:val="16"/>
                <w:szCs w:val="16"/>
              </w:rPr>
            </w:pPr>
          </w:p>
        </w:tc>
        <w:tc>
          <w:tcPr>
            <w:tcW w:w="1519" w:type="dxa"/>
            <w:vAlign w:val="center"/>
          </w:tcPr>
          <w:p>
            <w:pPr>
              <w:spacing w:line="567" w:lineRule="exact"/>
              <w:jc w:val="center"/>
              <w:rPr>
                <w:rFonts w:ascii="Times New Roman" w:hAnsi="Times New Roman"/>
                <w:color w:val="000000"/>
                <w:sz w:val="16"/>
                <w:szCs w:val="16"/>
              </w:rPr>
            </w:pP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公开03表</w:t>
            </w:r>
          </w:p>
        </w:tc>
      </w:tr>
      <w:tr>
        <w:trPr>
          <w:trHeight w:val="315" w:hRule="atLeast"/>
        </w:trPr>
        <w:tc>
          <w:tcPr>
            <w:tcW w:w="1712" w:type="dxa"/>
            <w:gridSpan w:val="2"/>
            <w:vAlign w:val="center"/>
          </w:tcPr>
          <w:p>
            <w:pPr>
              <w:spacing w:line="567" w:lineRule="exact"/>
              <w:jc w:val="left"/>
              <w:rPr>
                <w:rFonts w:ascii="Times New Roman" w:hAnsi="Times New Roman"/>
                <w:color w:val="000000"/>
                <w:sz w:val="16"/>
                <w:szCs w:val="16"/>
              </w:rPr>
            </w:pPr>
            <w:r>
              <w:rPr>
                <w:rFonts w:hint="eastAsia" w:ascii="Times New Roman" w:hAnsi="Times New Roman" w:cs="宋体"/>
                <w:color w:val="000000"/>
                <w:sz w:val="16"/>
                <w:szCs w:val="16"/>
              </w:rPr>
              <w:t>部门：</w:t>
            </w:r>
          </w:p>
        </w:tc>
        <w:tc>
          <w:tcPr>
            <w:tcW w:w="1519"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rPr>
          <w:trHeight w:val="300" w:hRule="atLeast"/>
        </w:trPr>
        <w:tc>
          <w:tcPr>
            <w:tcW w:w="3231"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本年支出合计</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基本支出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上缴上级支出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经营支出</w:t>
            </w:r>
          </w:p>
        </w:tc>
        <w:tc>
          <w:tcPr>
            <w:tcW w:w="1184" w:type="dxa"/>
            <w:vMerge w:val="restart"/>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对附属单位</w:t>
            </w:r>
            <w:r>
              <w:rPr>
                <w:rFonts w:hint="eastAsia" w:ascii="Times New Roman" w:hAnsi="Times New Roman"/>
                <w:b/>
                <w:bCs/>
                <w:color w:val="000000"/>
                <w:kern w:val="0"/>
                <w:sz w:val="16"/>
                <w:szCs w:val="16"/>
              </w:rPr>
              <w:br/>
            </w:r>
            <w:r>
              <w:rPr>
                <w:rFonts w:hint="eastAsia" w:ascii="Times New Roman" w:hAnsi="Times New Roman"/>
                <w:b/>
                <w:bCs/>
                <w:color w:val="000000"/>
                <w:kern w:val="0"/>
                <w:sz w:val="16"/>
                <w:szCs w:val="16"/>
              </w:rPr>
              <w:t>补助支出</w:t>
            </w:r>
          </w:p>
        </w:tc>
      </w:tr>
      <w:tr>
        <w:trPr>
          <w:trHeight w:val="6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功能分类</w:t>
            </w:r>
            <w:r>
              <w:rPr>
                <w:rFonts w:hint="eastAsia" w:ascii="Times New Roman" w:hAnsi="Times New Roman"/>
                <w:b/>
                <w:bCs/>
                <w:color w:val="000000"/>
                <w:kern w:val="0"/>
                <w:sz w:val="16"/>
                <w:szCs w:val="16"/>
              </w:rPr>
              <w:br/>
            </w:r>
            <w:r>
              <w:rPr>
                <w:rFonts w:hint="eastAsia" w:ascii="Times New Roman" w:hAnsi="Times New Roman"/>
                <w:b/>
                <w:bCs/>
                <w:color w:val="000000"/>
                <w:kern w:val="0"/>
                <w:sz w:val="16"/>
                <w:szCs w:val="16"/>
              </w:rPr>
              <w:t>科目编码</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科目名称</w:t>
            </w: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vMerge w:val="continue"/>
            <w:tcBorders>
              <w:top w:val="single" w:color="000000" w:sz="12" w:space="0"/>
              <w:left w:val="nil"/>
              <w:bottom w:val="single" w:color="000000" w:sz="4" w:space="0"/>
              <w:right w:val="single" w:color="000000" w:sz="12" w:space="0"/>
            </w:tcBorders>
            <w:vAlign w:val="center"/>
          </w:tcPr>
          <w:p>
            <w:pPr>
              <w:widowControl/>
              <w:spacing w:line="567" w:lineRule="exact"/>
              <w:jc w:val="center"/>
              <w:rPr>
                <w:rFonts w:ascii="Times New Roman" w:hAnsi="Times New Roman"/>
                <w:b/>
                <w:bCs/>
                <w:color w:val="000000"/>
                <w:sz w:val="16"/>
                <w:szCs w:val="16"/>
              </w:rPr>
            </w:pPr>
          </w:p>
        </w:tc>
      </w:tr>
      <w:tr>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w:t>
            </w:r>
          </w:p>
        </w:tc>
      </w:tr>
      <w:tr>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184" w:type="dxa"/>
            <w:gridSpan w:val="2"/>
            <w:tcBorders>
              <w:top w:val="single" w:color="000000" w:sz="4" w:space="0"/>
              <w:left w:val="nil"/>
              <w:bottom w:val="single" w:color="000000" w:sz="4" w:space="0"/>
              <w:right w:val="single" w:color="000000" w:sz="4" w:space="0"/>
            </w:tcBorders>
            <w:vAlign w:val="top"/>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3269.71</w:t>
            </w:r>
          </w:p>
        </w:tc>
        <w:tc>
          <w:tcPr>
            <w:tcW w:w="1184" w:type="dxa"/>
            <w:gridSpan w:val="2"/>
            <w:tcBorders>
              <w:top w:val="single" w:color="000000" w:sz="4" w:space="0"/>
              <w:left w:val="nil"/>
              <w:bottom w:val="single" w:color="000000" w:sz="4" w:space="0"/>
              <w:right w:val="single" w:color="000000" w:sz="4" w:space="0"/>
            </w:tcBorders>
            <w:vAlign w:val="top"/>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3216.60</w:t>
            </w:r>
          </w:p>
        </w:tc>
        <w:tc>
          <w:tcPr>
            <w:tcW w:w="1184" w:type="dxa"/>
            <w:gridSpan w:val="2"/>
            <w:tcBorders>
              <w:top w:val="single" w:color="000000" w:sz="4" w:space="0"/>
              <w:left w:val="nil"/>
              <w:bottom w:val="single" w:color="000000" w:sz="4" w:space="0"/>
              <w:right w:val="single" w:color="000000" w:sz="4" w:space="0"/>
            </w:tcBorders>
            <w:vAlign w:val="top"/>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53.11</w:t>
            </w:r>
          </w:p>
        </w:tc>
        <w:tc>
          <w:tcPr>
            <w:tcW w:w="1184" w:type="dxa"/>
            <w:gridSpan w:val="2"/>
            <w:tcBorders>
              <w:top w:val="single" w:color="000000" w:sz="4" w:space="0"/>
              <w:left w:val="nil"/>
              <w:bottom w:val="single" w:color="000000" w:sz="4" w:space="0"/>
              <w:right w:val="single" w:color="000000" w:sz="4" w:space="0"/>
            </w:tcBorders>
            <w:vAlign w:val="top"/>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top"/>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84" w:type="dxa"/>
            <w:tcBorders>
              <w:top w:val="single" w:color="000000" w:sz="4" w:space="0"/>
              <w:left w:val="nil"/>
              <w:bottom w:val="single" w:color="000000" w:sz="4" w:space="0"/>
              <w:right w:val="single" w:color="000000" w:sz="12" w:space="0"/>
            </w:tcBorders>
            <w:vAlign w:val="top"/>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208</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社会保障和就业支出</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471.39</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471.39</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20805</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kern w:val="0"/>
                <w:sz w:val="16"/>
                <w:szCs w:val="16"/>
              </w:rPr>
              <w:t>行政事业单位离退休</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431.35</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431.35</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2080501</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归口管理的行政单位离退休</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321.17</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321.17</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2080502</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事业单位离退休</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26.01</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26.01</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2080505</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机关事业单位基本养老保险缴费支出</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84.17</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84.17</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20809</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kern w:val="0"/>
                <w:sz w:val="16"/>
                <w:szCs w:val="16"/>
              </w:rPr>
              <w:t>退役安置</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2080901</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退役士兵安置</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40.04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210</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医疗卫生与计划生育支出</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34.25</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34.25</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21011</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行政事业单位医疗</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34.25</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34.25</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2101101</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行政单位医疗</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23.92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23.92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2101102</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事业单位医疗</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10.32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10.32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221</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住房保障支出</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67.42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67.42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22102</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住房改革支出</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67.42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67.42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2210201</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住房公积金</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粮油物资储备支出</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2696.65</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2643.54</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53.11</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22201</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粮油事务</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2468.65</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2415.54</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53.11</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2220101</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行政运行</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872.11</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872.11</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2220105</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粮食信息统计</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53.63</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29.42</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24.21</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2220150</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事业运行</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349.77</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349.77</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2220199</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其他粮油事务支出</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1193.15</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1164.25</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28.90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22204</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粮油储备</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2220401</w:t>
            </w:r>
          </w:p>
        </w:tc>
        <w:tc>
          <w:tcPr>
            <w:tcW w:w="2511"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储备粮油补贴</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228.00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360" w:hRule="atLeast"/>
        </w:trPr>
        <w:tc>
          <w:tcPr>
            <w:tcW w:w="10335" w:type="dxa"/>
            <w:gridSpan w:val="14"/>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注：本表反映部门本年度各项支出情况。</w:t>
            </w:r>
          </w:p>
        </w:tc>
      </w:tr>
      <w:tr>
        <w:trPr>
          <w:trHeight w:val="360" w:hRule="atLeast"/>
        </w:trPr>
        <w:tc>
          <w:tcPr>
            <w:tcW w:w="10335" w:type="dxa"/>
            <w:gridSpan w:val="14"/>
            <w:vAlign w:val="center"/>
          </w:tcPr>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tc>
      </w:tr>
    </w:tbl>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sectPr>
      </w:pPr>
    </w:p>
    <w:tbl>
      <w:tblPr>
        <w:tblW w:w="10365" w:type="dxa"/>
        <w:tblInd w:w="-9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90"/>
        <w:gridCol w:w="278"/>
        <w:gridCol w:w="122"/>
        <w:gridCol w:w="193"/>
        <w:gridCol w:w="1102"/>
        <w:gridCol w:w="1746"/>
        <w:gridCol w:w="316"/>
        <w:gridCol w:w="203"/>
        <w:gridCol w:w="406"/>
        <w:gridCol w:w="390"/>
        <w:gridCol w:w="824"/>
        <w:gridCol w:w="175"/>
        <w:gridCol w:w="1120"/>
        <w:gridCol w:w="1300"/>
      </w:tblGrid>
      <w:tr>
        <w:trPr>
          <w:trHeight w:val="375" w:hRule="atLeast"/>
        </w:trPr>
        <w:tc>
          <w:tcPr>
            <w:tcW w:w="10365" w:type="dxa"/>
            <w:gridSpan w:val="14"/>
            <w:vAlign w:val="bottom"/>
          </w:tcPr>
          <w:p>
            <w:pPr>
              <w:widowControl/>
              <w:spacing w:line="567" w:lineRule="exact"/>
              <w:jc w:val="center"/>
              <w:textAlignment w:val="bottom"/>
              <w:rPr>
                <w:rFonts w:ascii="Times New Roman" w:hAnsi="Times New Roman" w:eastAsia="黑体"/>
                <w:color w:val="000000"/>
                <w:sz w:val="28"/>
                <w:szCs w:val="28"/>
              </w:rPr>
            </w:pPr>
            <w:r>
              <w:rPr>
                <w:rFonts w:hint="eastAsia" w:ascii="Times New Roman" w:hAnsi="Times New Roman" w:eastAsia="黑体"/>
                <w:color w:val="000000"/>
                <w:kern w:val="0"/>
                <w:sz w:val="28"/>
                <w:szCs w:val="28"/>
              </w:rPr>
              <w:t>财政拨款收入支出决算表</w:t>
            </w:r>
          </w:p>
        </w:tc>
      </w:tr>
      <w:tr>
        <w:trPr>
          <w:trHeight w:val="285" w:hRule="atLeast"/>
        </w:trPr>
        <w:tc>
          <w:tcPr>
            <w:tcW w:w="2468" w:type="dxa"/>
            <w:gridSpan w:val="2"/>
            <w:vAlign w:val="center"/>
          </w:tcPr>
          <w:p>
            <w:pPr>
              <w:spacing w:line="567" w:lineRule="exact"/>
              <w:jc w:val="center"/>
              <w:rPr>
                <w:rFonts w:ascii="Times New Roman" w:hAnsi="Times New Roman"/>
                <w:color w:val="000000"/>
                <w:sz w:val="16"/>
                <w:szCs w:val="16"/>
              </w:rPr>
            </w:pPr>
          </w:p>
        </w:tc>
        <w:tc>
          <w:tcPr>
            <w:tcW w:w="315" w:type="dxa"/>
            <w:gridSpan w:val="2"/>
            <w:vAlign w:val="center"/>
          </w:tcPr>
          <w:p>
            <w:pPr>
              <w:spacing w:line="567" w:lineRule="exact"/>
              <w:jc w:val="center"/>
              <w:rPr>
                <w:rFonts w:ascii="Times New Roman" w:hAnsi="Times New Roman"/>
                <w:color w:val="000000"/>
                <w:sz w:val="16"/>
                <w:szCs w:val="16"/>
              </w:rPr>
            </w:pPr>
          </w:p>
        </w:tc>
        <w:tc>
          <w:tcPr>
            <w:tcW w:w="1102" w:type="dxa"/>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vAlign w:val="center"/>
          </w:tcPr>
          <w:p>
            <w:pPr>
              <w:spacing w:line="567" w:lineRule="exact"/>
              <w:jc w:val="center"/>
              <w:rPr>
                <w:rFonts w:ascii="Times New Roman" w:hAnsi="Times New Roman"/>
                <w:color w:val="000000"/>
                <w:sz w:val="16"/>
                <w:szCs w:val="16"/>
              </w:rPr>
            </w:pPr>
          </w:p>
        </w:tc>
        <w:tc>
          <w:tcPr>
            <w:tcW w:w="999" w:type="dxa"/>
            <w:gridSpan w:val="3"/>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2420"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公开04表</w:t>
            </w:r>
          </w:p>
        </w:tc>
      </w:tr>
      <w:tr>
        <w:trPr>
          <w:trHeight w:val="285" w:hRule="atLeast"/>
        </w:trPr>
        <w:tc>
          <w:tcPr>
            <w:tcW w:w="2468" w:type="dxa"/>
            <w:gridSpan w:val="2"/>
            <w:vAlign w:val="center"/>
          </w:tcPr>
          <w:p>
            <w:pPr>
              <w:spacing w:line="567" w:lineRule="exact"/>
              <w:jc w:val="left"/>
              <w:rPr>
                <w:rFonts w:ascii="Times New Roman" w:hAnsi="Times New Roman"/>
                <w:color w:val="000000"/>
                <w:sz w:val="16"/>
                <w:szCs w:val="16"/>
              </w:rPr>
            </w:pPr>
            <w:r>
              <w:rPr>
                <w:rFonts w:hint="eastAsia" w:ascii="Times New Roman" w:hAnsi="Times New Roman" w:cs="宋体"/>
                <w:color w:val="000000"/>
                <w:sz w:val="16"/>
                <w:szCs w:val="16"/>
              </w:rPr>
              <w:t>部门：</w:t>
            </w:r>
          </w:p>
        </w:tc>
        <w:tc>
          <w:tcPr>
            <w:tcW w:w="315"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102"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3"/>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2420" w:type="dxa"/>
            <w:gridSpan w:val="2"/>
            <w:tcBorders>
              <w:bottom w:val="single" w:color="000000" w:sz="12" w:space="0"/>
            </w:tcBorders>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rPr>
          <w:trHeight w:val="285" w:hRule="atLeast"/>
        </w:trPr>
        <w:tc>
          <w:tcPr>
            <w:tcW w:w="3885" w:type="dxa"/>
            <w:gridSpan w:val="5"/>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收入</w:t>
            </w:r>
          </w:p>
        </w:tc>
        <w:tc>
          <w:tcPr>
            <w:tcW w:w="6480" w:type="dxa"/>
            <w:gridSpan w:val="9"/>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支出</w:t>
            </w:r>
          </w:p>
        </w:tc>
      </w:tr>
      <w:tr>
        <w:trPr>
          <w:trHeight w:val="480"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行次</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金额</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行次</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一般公共预算财政拨款</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政府性基金预算财政拨款</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一、一般公共预算财政拨款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3236.05</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一、一般公共服务支出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31</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二、外交支出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32</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三、国防支出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33</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四、公共安全支出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34</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五、教育支出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35</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六、科学技术支出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36</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七、文化体育与传媒支出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37</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八、社会保障和就业支出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38</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471.39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471.39</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九、医疗卫生与计划生育支出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39</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34.25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34.25</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十、节能环保支出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40</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十一、城乡社区支出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41</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十二、农林水支出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42</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十三、交通运输支出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43</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14</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十四、资源勘探信息等支出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44</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十五、商业服务业等支出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45</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十六、金融支出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46</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十七、援助其他地区支出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47</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十八、国土海洋气象等支出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48</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十九、住房保障支出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49</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67.42</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二十、粮油物资储备支出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50</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2662.99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2662.99</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二十一、其他支出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51</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二十二、债务还本支出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52</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二十三、债务付息支出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53</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24</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54</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本年收入合计</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3236.05</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本年支出合计</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55</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3236.05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3236.05</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年初财政拨款结转和结余</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0.12</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年末财政拨款结转和结余</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56</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0.12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0.12</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0.12</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57</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0</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58</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59</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rPr>
          <w:trHeight w:val="285" w:hRule="atLeast"/>
        </w:trPr>
        <w:tc>
          <w:tcPr>
            <w:tcW w:w="219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总计</w:t>
            </w:r>
          </w:p>
        </w:tc>
        <w:tc>
          <w:tcPr>
            <w:tcW w:w="400" w:type="dxa"/>
            <w:gridSpan w:val="2"/>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30</w:t>
            </w:r>
          </w:p>
        </w:tc>
        <w:tc>
          <w:tcPr>
            <w:tcW w:w="1295"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3236.17</w:t>
            </w:r>
          </w:p>
        </w:tc>
        <w:tc>
          <w:tcPr>
            <w:tcW w:w="2265" w:type="dxa"/>
            <w:gridSpan w:val="3"/>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总计</w:t>
            </w:r>
          </w:p>
        </w:tc>
        <w:tc>
          <w:tcPr>
            <w:tcW w:w="406" w:type="dxa"/>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60</w:t>
            </w:r>
          </w:p>
        </w:tc>
        <w:tc>
          <w:tcPr>
            <w:tcW w:w="121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3236.17</w:t>
            </w:r>
          </w:p>
        </w:tc>
        <w:tc>
          <w:tcPr>
            <w:tcW w:w="1295"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3236.17</w:t>
            </w:r>
          </w:p>
        </w:tc>
        <w:tc>
          <w:tcPr>
            <w:tcW w:w="130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0</w:t>
            </w:r>
          </w:p>
        </w:tc>
      </w:tr>
      <w:tr>
        <w:trPr>
          <w:trHeight w:val="495" w:hRule="atLeast"/>
        </w:trPr>
        <w:tc>
          <w:tcPr>
            <w:tcW w:w="10365" w:type="dxa"/>
            <w:gridSpan w:val="14"/>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注：本表反映部门本年度一般公共预算财政拨款和政府性基金预算财政拨款的总收支和年末结转结余情况。</w:t>
            </w: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kern w:val="0"/>
                <w:sz w:val="16"/>
                <w:szCs w:val="16"/>
              </w:rPr>
            </w:pPr>
          </w:p>
          <w:p>
            <w:pPr>
              <w:widowControl/>
              <w:spacing w:line="567" w:lineRule="exact"/>
              <w:textAlignment w:val="center"/>
              <w:rPr>
                <w:rFonts w:ascii="Times New Roman" w:hAnsi="Times New Roman"/>
                <w:color w:val="000000"/>
                <w:sz w:val="16"/>
                <w:szCs w:val="16"/>
              </w:rPr>
            </w:pPr>
          </w:p>
        </w:tc>
      </w:tr>
    </w:tbl>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sectPr>
      </w:pPr>
    </w:p>
    <w:tbl>
      <w:tblPr>
        <w:tblW w:w="10335" w:type="dxa"/>
        <w:tblInd w:w="-10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80"/>
        <w:gridCol w:w="675"/>
        <w:gridCol w:w="1800"/>
        <w:gridCol w:w="2160"/>
        <w:gridCol w:w="165"/>
        <w:gridCol w:w="1575"/>
        <w:gridCol w:w="420"/>
        <w:gridCol w:w="2160"/>
      </w:tblGrid>
      <w:tr>
        <w:trPr>
          <w:trHeight w:val="375" w:hRule="atLeast"/>
        </w:trPr>
        <w:tc>
          <w:tcPr>
            <w:tcW w:w="10335" w:type="dxa"/>
            <w:gridSpan w:val="8"/>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一般公共预算财政拨款支出决算表</w:t>
            </w:r>
          </w:p>
        </w:tc>
      </w:tr>
      <w:tr>
        <w:trPr>
          <w:trHeight w:val="285" w:hRule="atLeast"/>
        </w:trPr>
        <w:tc>
          <w:tcPr>
            <w:tcW w:w="2055" w:type="dxa"/>
            <w:gridSpan w:val="2"/>
            <w:vAlign w:val="center"/>
          </w:tcPr>
          <w:p>
            <w:pPr>
              <w:spacing w:line="567" w:lineRule="exact"/>
              <w:rPr>
                <w:rFonts w:ascii="Times New Roman" w:hAnsi="Times New Roman" w:cs="宋体"/>
                <w:color w:val="000000"/>
                <w:sz w:val="16"/>
                <w:szCs w:val="16"/>
              </w:rPr>
            </w:pPr>
          </w:p>
        </w:tc>
        <w:tc>
          <w:tcPr>
            <w:tcW w:w="1800" w:type="dxa"/>
            <w:vAlign w:val="center"/>
          </w:tcPr>
          <w:p>
            <w:pPr>
              <w:spacing w:line="567" w:lineRule="exact"/>
              <w:jc w:val="center"/>
              <w:rPr>
                <w:rFonts w:ascii="Times New Roman" w:hAnsi="Times New Roman" w:cs="宋体"/>
                <w:color w:val="000000"/>
                <w:sz w:val="16"/>
                <w:szCs w:val="16"/>
              </w:rPr>
            </w:pP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公开05表</w:t>
            </w:r>
          </w:p>
        </w:tc>
      </w:tr>
      <w:tr>
        <w:trPr>
          <w:trHeight w:val="270" w:hRule="atLeast"/>
        </w:trPr>
        <w:tc>
          <w:tcPr>
            <w:tcW w:w="2055"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1800" w:type="dxa"/>
            <w:vAlign w:val="center"/>
          </w:tcPr>
          <w:p>
            <w:pPr>
              <w:spacing w:line="567" w:lineRule="exact"/>
              <w:jc w:val="center"/>
              <w:rPr>
                <w:rFonts w:ascii="Times New Roman" w:hAnsi="Times New Roman" w:cs="宋体"/>
                <w:color w:val="000000"/>
                <w:sz w:val="16"/>
                <w:szCs w:val="16"/>
              </w:rPr>
            </w:pP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rPr>
          <w:trHeight w:val="300" w:hRule="atLeast"/>
        </w:trPr>
        <w:tc>
          <w:tcPr>
            <w:tcW w:w="3855"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w:t>
            </w:r>
          </w:p>
        </w:tc>
        <w:tc>
          <w:tcPr>
            <w:tcW w:w="2160"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本年支出合计</w:t>
            </w:r>
          </w:p>
        </w:tc>
        <w:tc>
          <w:tcPr>
            <w:tcW w:w="2160"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基本支出</w:t>
            </w:r>
          </w:p>
        </w:tc>
        <w:tc>
          <w:tcPr>
            <w:tcW w:w="2160" w:type="dxa"/>
            <w:vMerge w:val="restart"/>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项目支出</w:t>
            </w:r>
          </w:p>
        </w:tc>
      </w:tr>
      <w:tr>
        <w:trPr>
          <w:trHeight w:val="6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功能分类</w:t>
            </w:r>
            <w:r>
              <w:rPr>
                <w:rFonts w:hint="eastAsia" w:ascii="Times New Roman" w:hAnsi="Times New Roman" w:cs="宋体"/>
                <w:b/>
                <w:color w:val="000000"/>
                <w:kern w:val="0"/>
                <w:sz w:val="16"/>
                <w:szCs w:val="16"/>
              </w:rPr>
              <w:br/>
            </w:r>
            <w:r>
              <w:rPr>
                <w:rFonts w:hint="eastAsia" w:ascii="Times New Roman" w:hAnsi="Times New Roman"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216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gridSpan w:val="3"/>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rPr>
          <w:trHeight w:val="30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栏次</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w:t>
            </w:r>
          </w:p>
        </w:tc>
      </w:tr>
      <w:tr>
        <w:trPr>
          <w:trHeight w:val="30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2160" w:type="dxa"/>
            <w:tcBorders>
              <w:top w:val="single" w:color="000000" w:sz="4" w:space="0"/>
              <w:left w:val="single" w:color="000000" w:sz="4" w:space="0"/>
              <w:bottom w:val="single" w:color="000000" w:sz="4" w:space="0"/>
              <w:right w:val="single" w:color="000000" w:sz="4" w:space="0"/>
            </w:tcBorders>
            <w:vAlign w:val="top"/>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3236.05</w:t>
            </w:r>
          </w:p>
        </w:tc>
        <w:tc>
          <w:tcPr>
            <w:tcW w:w="2160" w:type="dxa"/>
            <w:gridSpan w:val="3"/>
            <w:tcBorders>
              <w:top w:val="single" w:color="000000" w:sz="4" w:space="0"/>
              <w:left w:val="single" w:color="000000" w:sz="4" w:space="0"/>
              <w:bottom w:val="single" w:color="000000" w:sz="4" w:space="0"/>
              <w:right w:val="single" w:color="000000" w:sz="4" w:space="0"/>
            </w:tcBorders>
            <w:vAlign w:val="top"/>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3182.94</w:t>
            </w:r>
          </w:p>
        </w:tc>
        <w:tc>
          <w:tcPr>
            <w:tcW w:w="2160" w:type="dxa"/>
            <w:tcBorders>
              <w:top w:val="single" w:color="000000" w:sz="4" w:space="0"/>
              <w:left w:val="single" w:color="000000" w:sz="4" w:space="0"/>
              <w:bottom w:val="single" w:color="000000" w:sz="4" w:space="0"/>
              <w:right w:val="single" w:color="000000" w:sz="12" w:space="0"/>
            </w:tcBorders>
            <w:vAlign w:val="top"/>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53.11</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社会保障和就业支出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471.39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471.39</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kern w:val="0"/>
                <w:sz w:val="16"/>
                <w:szCs w:val="16"/>
              </w:rPr>
              <w:t>行政事业单位离退休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431.35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431.35</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归口管理的行政单位离退休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321.17</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321.17</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事业单位离退休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26.01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26.01</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2080505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机关事业单位基本养老保险缴费支出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84.17</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84.17</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20809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kern w:val="0"/>
                <w:sz w:val="16"/>
                <w:szCs w:val="16"/>
              </w:rPr>
              <w:t>退役安置</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40.04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40.04</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2080901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退役士兵安置</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40.04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40.04</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医疗卫生与计划生育支出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34.25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34.25</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21011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kern w:val="0"/>
                <w:sz w:val="16"/>
                <w:szCs w:val="16"/>
              </w:rPr>
            </w:pPr>
            <w:r>
              <w:rPr>
                <w:rFonts w:hint="eastAsia" w:ascii="Times New Roman" w:hAnsi="Times New Roman"/>
                <w:b/>
                <w:color w:val="000000"/>
                <w:kern w:val="0"/>
                <w:sz w:val="16"/>
                <w:szCs w:val="16"/>
              </w:rPr>
              <w:t>行政事业单位医疗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34.25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34.25</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2101101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r>
              <w:rPr>
                <w:rFonts w:hint="eastAsia" w:ascii="Times New Roman" w:hAnsi="Times New Roman"/>
                <w:color w:val="000000"/>
                <w:kern w:val="0"/>
                <w:sz w:val="16"/>
                <w:szCs w:val="16"/>
              </w:rPr>
              <w:t>行政单位医疗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23.92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23.92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2101102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事业单位医疗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10.32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10.32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住房保障支出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67.42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67.42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住房改革支出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67.42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67.42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2210201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住房公积金</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67.42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67.42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粮油物资储备支出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2662.99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2609.87</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53.11</w:t>
            </w:r>
          </w:p>
        </w:tc>
      </w:tr>
      <w:tr>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22201</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粮油事务</w:t>
            </w:r>
          </w:p>
        </w:tc>
        <w:tc>
          <w:tcPr>
            <w:tcW w:w="216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2434.99</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2381.87</w:t>
            </w:r>
          </w:p>
        </w:tc>
        <w:tc>
          <w:tcPr>
            <w:tcW w:w="216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53.11</w:t>
            </w:r>
          </w:p>
        </w:tc>
      </w:tr>
      <w:tr>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2220101</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行政运行</w:t>
            </w:r>
          </w:p>
        </w:tc>
        <w:tc>
          <w:tcPr>
            <w:tcW w:w="216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872.11</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872.11</w:t>
            </w:r>
          </w:p>
        </w:tc>
        <w:tc>
          <w:tcPr>
            <w:tcW w:w="216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2220105</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粮食信息统计</w:t>
            </w:r>
          </w:p>
        </w:tc>
        <w:tc>
          <w:tcPr>
            <w:tcW w:w="216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24.21</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216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24.21</w:t>
            </w:r>
          </w:p>
        </w:tc>
      </w:tr>
      <w:tr>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2220150</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事业运行</w:t>
            </w:r>
          </w:p>
        </w:tc>
        <w:tc>
          <w:tcPr>
            <w:tcW w:w="216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349.77</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349.77</w:t>
            </w:r>
          </w:p>
        </w:tc>
        <w:tc>
          <w:tcPr>
            <w:tcW w:w="216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2220199</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其他粮油事务支出</w:t>
            </w:r>
          </w:p>
        </w:tc>
        <w:tc>
          <w:tcPr>
            <w:tcW w:w="216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1188.90</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1160</w:t>
            </w:r>
          </w:p>
        </w:tc>
        <w:tc>
          <w:tcPr>
            <w:tcW w:w="216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28.90</w:t>
            </w:r>
          </w:p>
        </w:tc>
      </w:tr>
      <w:tr>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22204</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b/>
                <w:color w:val="000000"/>
                <w:sz w:val="16"/>
                <w:szCs w:val="16"/>
              </w:rPr>
            </w:pPr>
            <w:r>
              <w:rPr>
                <w:rFonts w:hint="eastAsia" w:ascii="Times New Roman" w:hAnsi="Times New Roman"/>
                <w:b/>
                <w:color w:val="000000"/>
                <w:sz w:val="16"/>
                <w:szCs w:val="16"/>
              </w:rPr>
              <w:t>粮油储备</w:t>
            </w:r>
          </w:p>
        </w:tc>
        <w:tc>
          <w:tcPr>
            <w:tcW w:w="216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228.00</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228.00</w:t>
            </w:r>
          </w:p>
        </w:tc>
        <w:tc>
          <w:tcPr>
            <w:tcW w:w="216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2220401</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储备粮油补贴</w:t>
            </w:r>
          </w:p>
        </w:tc>
        <w:tc>
          <w:tcPr>
            <w:tcW w:w="216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228.00</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228.00</w:t>
            </w:r>
          </w:p>
        </w:tc>
        <w:tc>
          <w:tcPr>
            <w:tcW w:w="216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600" w:hRule="atLeast"/>
        </w:trPr>
        <w:tc>
          <w:tcPr>
            <w:tcW w:w="10335" w:type="dxa"/>
            <w:gridSpan w:val="8"/>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注：本表反映部门本年度一般公共预算财政拨款实际支出情况。</w:t>
            </w: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kern w:val="0"/>
                <w:sz w:val="16"/>
                <w:szCs w:val="16"/>
              </w:rPr>
            </w:pPr>
          </w:p>
          <w:p>
            <w:pPr>
              <w:widowControl/>
              <w:spacing w:line="567" w:lineRule="exact"/>
              <w:textAlignment w:val="center"/>
              <w:rPr>
                <w:rFonts w:ascii="Times New Roman" w:hAnsi="Times New Roman" w:cs="宋体"/>
                <w:color w:val="000000"/>
                <w:sz w:val="16"/>
                <w:szCs w:val="16"/>
              </w:rPr>
            </w:pP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sectPr>
      </w:pPr>
    </w:p>
    <w:tbl>
      <w:tblPr>
        <w:tblW w:w="10365" w:type="dxa"/>
        <w:tblInd w:w="-10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8"/>
        <w:gridCol w:w="597"/>
        <w:gridCol w:w="1794"/>
        <w:gridCol w:w="1620"/>
        <w:gridCol w:w="754"/>
        <w:gridCol w:w="480"/>
        <w:gridCol w:w="1314"/>
        <w:gridCol w:w="993"/>
        <w:gridCol w:w="1575"/>
      </w:tblGrid>
      <w:tr>
        <w:trPr>
          <w:trHeight w:val="375" w:hRule="atLeast"/>
        </w:trPr>
        <w:tc>
          <w:tcPr>
            <w:tcW w:w="10365" w:type="dxa"/>
            <w:gridSpan w:val="9"/>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一般公共预算财政拨款基本支出决算表</w:t>
            </w:r>
          </w:p>
        </w:tc>
      </w:tr>
      <w:tr>
        <w:trPr>
          <w:trHeight w:val="285" w:hRule="atLeast"/>
        </w:trPr>
        <w:tc>
          <w:tcPr>
            <w:tcW w:w="1835" w:type="dxa"/>
            <w:gridSpan w:val="2"/>
            <w:vAlign w:val="center"/>
          </w:tcPr>
          <w:p>
            <w:pPr>
              <w:spacing w:line="567" w:lineRule="exact"/>
              <w:rPr>
                <w:rFonts w:ascii="Times New Roman" w:hAnsi="Times New Roman" w:cs="宋体"/>
                <w:color w:val="000000"/>
                <w:sz w:val="16"/>
                <w:szCs w:val="16"/>
              </w:rPr>
            </w:pPr>
          </w:p>
        </w:tc>
        <w:tc>
          <w:tcPr>
            <w:tcW w:w="1794" w:type="dxa"/>
            <w:vAlign w:val="center"/>
          </w:tcPr>
          <w:p>
            <w:pPr>
              <w:spacing w:line="567" w:lineRule="exact"/>
              <w:jc w:val="center"/>
              <w:rPr>
                <w:rFonts w:ascii="Times New Roman" w:hAnsi="Times New Roman" w:cs="宋体"/>
                <w:color w:val="000000"/>
                <w:sz w:val="16"/>
                <w:szCs w:val="16"/>
              </w:rPr>
            </w:pP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公开06表</w:t>
            </w:r>
          </w:p>
        </w:tc>
      </w:tr>
      <w:tr>
        <w:trPr>
          <w:trHeight w:val="270" w:hRule="atLeast"/>
        </w:trPr>
        <w:tc>
          <w:tcPr>
            <w:tcW w:w="1835"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1794" w:type="dxa"/>
            <w:vAlign w:val="center"/>
          </w:tcPr>
          <w:p>
            <w:pPr>
              <w:spacing w:line="567" w:lineRule="exact"/>
              <w:jc w:val="center"/>
              <w:rPr>
                <w:rFonts w:ascii="Times New Roman" w:hAnsi="Times New Roman" w:cs="宋体"/>
                <w:color w:val="000000"/>
                <w:sz w:val="16"/>
                <w:szCs w:val="16"/>
              </w:rPr>
            </w:pP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rPr>
          <w:trHeight w:val="300" w:hRule="atLeast"/>
        </w:trPr>
        <w:tc>
          <w:tcPr>
            <w:tcW w:w="5249" w:type="dxa"/>
            <w:gridSpan w:val="4"/>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人员经费</w:t>
            </w:r>
          </w:p>
        </w:tc>
        <w:tc>
          <w:tcPr>
            <w:tcW w:w="5116" w:type="dxa"/>
            <w:gridSpan w:val="5"/>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公用经费</w:t>
            </w:r>
          </w:p>
        </w:tc>
      </w:tr>
      <w:tr>
        <w:trPr>
          <w:trHeight w:val="6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kern w:val="0"/>
                <w:sz w:val="16"/>
                <w:szCs w:val="16"/>
              </w:rPr>
            </w:pPr>
            <w:r>
              <w:rPr>
                <w:rFonts w:hint="eastAsia" w:ascii="Times New Roman" w:hAnsi="Times New Roman" w:cs="宋体"/>
                <w:b/>
                <w:color w:val="000000"/>
                <w:kern w:val="0"/>
                <w:sz w:val="16"/>
                <w:szCs w:val="16"/>
              </w:rPr>
              <w:t>经济分类</w:t>
            </w:r>
          </w:p>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科目编码</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kern w:val="0"/>
                <w:sz w:val="16"/>
                <w:szCs w:val="16"/>
              </w:rPr>
            </w:pPr>
            <w:r>
              <w:rPr>
                <w:rFonts w:hint="eastAsia" w:ascii="Times New Roman" w:hAnsi="Times New Roman" w:cs="宋体"/>
                <w:b/>
                <w:color w:val="000000"/>
                <w:kern w:val="0"/>
                <w:sz w:val="16"/>
                <w:szCs w:val="16"/>
              </w:rPr>
              <w:t>经济分类</w:t>
            </w:r>
          </w:p>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科目编码</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301</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1056.83</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302</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313.77</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30101</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309.96</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30201</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办公费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105.16</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30102</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283.18</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30202</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印刷费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30103</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248.09</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30203</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咨询费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30104</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46.52</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30204</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手续费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30106</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30205</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水费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1.93</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30107</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41.99</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30206</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22.13</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30108</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99.12</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30207</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邮电费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5.21</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30109</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30208</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取暖费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30199</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27.97</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30209</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物业管理费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303</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566.43</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30211</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差旅费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34.43</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30301</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21.14</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30212</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因公出国(境)费用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30302</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213.98</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30213</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维修(护)费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20.69</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30303</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30214</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租赁费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30304</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60.07</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30215</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会议费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5.77</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30305</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43.98</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30216</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培训费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7.61</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30306</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30217</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公务接待费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12.36</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30307</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30218</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专用材料费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9.00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30308</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30224</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被装购置费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30309</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40.31</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30225</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专用燃料费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30310</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30226</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劳务费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16.30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30311</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82.99</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30227</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委托业务费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30312</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30228</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工会经费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9.37</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30313</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50.13</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30229</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福利费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1.68</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30314</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24.70</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30231</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公务用车运行维护费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20.58</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30315</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17.76</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30239</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其他交通费用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41.55</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30399</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11.37</w:t>
            </w: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30240</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税金及附加费用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30299</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其他商品和服务支出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310</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其他资本性支出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28.91</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31001</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房屋建筑物购建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31002</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办公设备购置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27.41</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31003</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专用设备购置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1.50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31005</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基础设施建设</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31006</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大型修缮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31007</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信息网络及软件购置更新</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31008</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物资储备</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31009</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土地补偿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31010</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安置补助</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31011</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地上附着物和青苗补偿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31012</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拆迁补偿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31013</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公务用车购置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31019</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其他交通工具购置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31020</w:t>
            </w:r>
          </w:p>
        </w:tc>
        <w:tc>
          <w:tcPr>
            <w:tcW w:w="23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产权参股</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31099</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其他资本性支出</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304</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对企事业单位的补贴</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1217.00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30401</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企业政策性补贴</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30402</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事业单位补贴</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30403</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财政贴息</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1160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30499</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其他对企事业单位的补贴</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57.00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307</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债务利息支出</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30701</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国内债务付息</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30707</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国外债务付息</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399</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其他支出</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39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39906</w:t>
            </w:r>
          </w:p>
        </w:tc>
        <w:tc>
          <w:tcPr>
            <w:tcW w:w="2307"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赠与</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r>
      <w:tr>
        <w:trPr>
          <w:trHeight w:val="300" w:hRule="atLeast"/>
        </w:trPr>
        <w:tc>
          <w:tcPr>
            <w:tcW w:w="1238"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人员经费合计</w:t>
            </w:r>
          </w:p>
        </w:tc>
        <w:tc>
          <w:tcPr>
            <w:tcW w:w="4011" w:type="dxa"/>
            <w:gridSpan w:val="3"/>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1623.25</w:t>
            </w:r>
          </w:p>
        </w:tc>
        <w:tc>
          <w:tcPr>
            <w:tcW w:w="1234"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公用经费合计</w:t>
            </w:r>
          </w:p>
        </w:tc>
        <w:tc>
          <w:tcPr>
            <w:tcW w:w="3882" w:type="dxa"/>
            <w:gridSpan w:val="3"/>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1559.68</w:t>
            </w:r>
          </w:p>
        </w:tc>
      </w:tr>
      <w:tr>
        <w:trPr>
          <w:trHeight w:val="477" w:hRule="atLeast"/>
        </w:trPr>
        <w:tc>
          <w:tcPr>
            <w:tcW w:w="10365" w:type="dxa"/>
            <w:gridSpan w:val="9"/>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注：本表反映部门本年度一般公共预算财政拨款基本支出明细情况。</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sectPr>
      </w:pPr>
    </w:p>
    <w:tbl>
      <w:tblPr>
        <w:tblW w:w="10350" w:type="dxa"/>
        <w:tblInd w:w="-10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0"/>
        <w:gridCol w:w="855"/>
        <w:gridCol w:w="256"/>
        <w:gridCol w:w="647"/>
        <w:gridCol w:w="629"/>
        <w:gridCol w:w="208"/>
        <w:gridCol w:w="422"/>
        <w:gridCol w:w="448"/>
        <w:gridCol w:w="181"/>
        <w:gridCol w:w="689"/>
        <w:gridCol w:w="812"/>
        <w:gridCol w:w="88"/>
        <w:gridCol w:w="559"/>
        <w:gridCol w:w="281"/>
        <w:gridCol w:w="349"/>
        <w:gridCol w:w="506"/>
        <w:gridCol w:w="124"/>
        <w:gridCol w:w="630"/>
        <w:gridCol w:w="116"/>
        <w:gridCol w:w="840"/>
        <w:gridCol w:w="870"/>
      </w:tblGrid>
      <w:tr>
        <w:trPr>
          <w:trHeight w:val="375" w:hRule="atLeast"/>
        </w:trPr>
        <w:tc>
          <w:tcPr>
            <w:tcW w:w="10350" w:type="dxa"/>
            <w:gridSpan w:val="21"/>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一般公共预算财政拨款“三公”经费支出决算表</w:t>
            </w:r>
          </w:p>
        </w:tc>
      </w:tr>
      <w:tr>
        <w:trPr>
          <w:trHeight w:val="285" w:hRule="atLeast"/>
        </w:trPr>
        <w:tc>
          <w:tcPr>
            <w:tcW w:w="1951" w:type="dxa"/>
            <w:gridSpan w:val="3"/>
            <w:vAlign w:val="center"/>
          </w:tcPr>
          <w:p>
            <w:pPr>
              <w:spacing w:line="567" w:lineRule="exact"/>
              <w:rPr>
                <w:rFonts w:ascii="Times New Roman" w:hAnsi="Times New Roman" w:cs="宋体"/>
                <w:color w:val="000000"/>
                <w:sz w:val="16"/>
                <w:szCs w:val="16"/>
              </w:rPr>
            </w:pPr>
          </w:p>
        </w:tc>
        <w:tc>
          <w:tcPr>
            <w:tcW w:w="647" w:type="dxa"/>
            <w:vAlign w:val="center"/>
          </w:tcPr>
          <w:p>
            <w:pPr>
              <w:spacing w:line="567" w:lineRule="exact"/>
              <w:rPr>
                <w:rFonts w:ascii="Times New Roman" w:hAnsi="Times New Roman" w:cs="宋体"/>
                <w:color w:val="000000"/>
                <w:sz w:val="16"/>
                <w:szCs w:val="16"/>
              </w:rPr>
            </w:pP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公开07表</w:t>
            </w:r>
          </w:p>
        </w:tc>
      </w:tr>
      <w:tr>
        <w:trPr>
          <w:trHeight w:val="270" w:hRule="atLeast"/>
        </w:trPr>
        <w:tc>
          <w:tcPr>
            <w:tcW w:w="1951" w:type="dxa"/>
            <w:gridSpan w:val="3"/>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647" w:type="dxa"/>
            <w:vAlign w:val="center"/>
          </w:tcPr>
          <w:p>
            <w:pPr>
              <w:spacing w:line="567" w:lineRule="exact"/>
              <w:rPr>
                <w:rFonts w:ascii="Times New Roman" w:hAnsi="Times New Roman" w:cs="宋体"/>
                <w:color w:val="000000"/>
                <w:sz w:val="16"/>
                <w:szCs w:val="16"/>
              </w:rPr>
            </w:pP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rPr>
          <w:trHeight w:val="300" w:hRule="atLeast"/>
        </w:trPr>
        <w:tc>
          <w:tcPr>
            <w:tcW w:w="5175" w:type="dxa"/>
            <w:gridSpan w:val="10"/>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2017年度预算数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2017年度决算数</w:t>
            </w:r>
          </w:p>
        </w:tc>
      </w:tr>
      <w:tr>
        <w:trPr>
          <w:trHeight w:val="600" w:hRule="atLeast"/>
        </w:trPr>
        <w:tc>
          <w:tcPr>
            <w:tcW w:w="840"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因公出国（境）费</w:t>
            </w:r>
          </w:p>
        </w:tc>
        <w:tc>
          <w:tcPr>
            <w:tcW w:w="261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公务用车购置及运行费</w:t>
            </w:r>
          </w:p>
        </w:tc>
        <w:tc>
          <w:tcPr>
            <w:tcW w:w="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公务接待费</w:t>
            </w:r>
          </w:p>
        </w:tc>
        <w:tc>
          <w:tcPr>
            <w:tcW w:w="9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因公出国（境）费</w:t>
            </w:r>
          </w:p>
        </w:tc>
        <w:tc>
          <w:tcPr>
            <w:tcW w:w="256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公务接待费</w:t>
            </w:r>
          </w:p>
        </w:tc>
      </w:tr>
      <w:tr>
        <w:trPr>
          <w:trHeight w:val="600" w:hRule="atLeast"/>
        </w:trPr>
        <w:tc>
          <w:tcPr>
            <w:tcW w:w="840" w:type="dxa"/>
            <w:vMerge w:val="continue"/>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r>
            <w:r>
              <w:rPr>
                <w:rFonts w:hint="eastAsia" w:ascii="Times New Roman" w:hAnsi="Times New Roman" w:cs="宋体"/>
                <w:b/>
                <w:color w:val="000000"/>
                <w:kern w:val="0"/>
                <w:sz w:val="16"/>
                <w:szCs w:val="16"/>
              </w:rPr>
              <w:t>购置费</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r>
            <w:r>
              <w:rPr>
                <w:rFonts w:hint="eastAsia" w:ascii="Times New Roman" w:hAnsi="Times New Roman" w:cs="宋体"/>
                <w:b/>
                <w:color w:val="000000"/>
                <w:kern w:val="0"/>
                <w:sz w:val="16"/>
                <w:szCs w:val="16"/>
              </w:rPr>
              <w:t>运行费</w:t>
            </w:r>
          </w:p>
        </w:tc>
        <w:tc>
          <w:tcPr>
            <w:tcW w:w="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r>
            <w:r>
              <w:rPr>
                <w:rFonts w:hint="eastAsia" w:ascii="Times New Roman" w:hAnsi="Times New Roman" w:cs="宋体"/>
                <w:b/>
                <w:color w:val="000000"/>
                <w:kern w:val="0"/>
                <w:sz w:val="16"/>
                <w:szCs w:val="16"/>
              </w:rPr>
              <w:t>购置费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r>
            <w:r>
              <w:rPr>
                <w:rFonts w:hint="eastAsia" w:ascii="Times New Roman" w:hAnsi="Times New Roman"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rPr>
          <w:trHeight w:val="300" w:hRule="atLeast"/>
        </w:trPr>
        <w:tc>
          <w:tcPr>
            <w:tcW w:w="84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6</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7</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8</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9</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12</w:t>
            </w:r>
          </w:p>
        </w:tc>
      </w:tr>
      <w:tr>
        <w:trPr>
          <w:trHeight w:val="600" w:hRule="atLeast"/>
        </w:trPr>
        <w:tc>
          <w:tcPr>
            <w:tcW w:w="840" w:type="dxa"/>
            <w:tcBorders>
              <w:top w:val="single" w:color="000000" w:sz="4" w:space="0"/>
              <w:left w:val="single" w:color="000000" w:sz="12" w:space="0"/>
              <w:bottom w:val="single" w:color="000000" w:sz="12" w:space="0"/>
              <w:right w:val="single" w:color="000000" w:sz="4" w:space="0"/>
            </w:tcBorders>
            <w:vAlign w:val="center"/>
          </w:tcPr>
          <w:p>
            <w:pPr>
              <w:spacing w:line="567" w:lineRule="exact"/>
              <w:jc w:val="center"/>
              <w:rPr>
                <w:rFonts w:ascii="Times New Roman" w:hAnsi="Times New Roman" w:cs="宋体"/>
                <w:b/>
                <w:color w:val="000000"/>
                <w:sz w:val="16"/>
                <w:szCs w:val="16"/>
              </w:rPr>
            </w:pPr>
            <w:r>
              <w:rPr>
                <w:rFonts w:hint="eastAsia" w:ascii="Times New Roman" w:hAnsi="Times New Roman" w:cs="宋体"/>
                <w:b/>
                <w:color w:val="000000"/>
                <w:sz w:val="16"/>
                <w:szCs w:val="16"/>
              </w:rPr>
              <w:t>34.35</w:t>
            </w:r>
          </w:p>
        </w:tc>
        <w:tc>
          <w:tcPr>
            <w:tcW w:w="855"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903"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21.35</w:t>
            </w:r>
          </w:p>
        </w:tc>
        <w:tc>
          <w:tcPr>
            <w:tcW w:w="837"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21.35</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13.00</w:t>
            </w:r>
          </w:p>
        </w:tc>
        <w:tc>
          <w:tcPr>
            <w:tcW w:w="90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b/>
                <w:color w:val="000000"/>
                <w:sz w:val="16"/>
                <w:szCs w:val="16"/>
              </w:rPr>
            </w:pPr>
            <w:r>
              <w:rPr>
                <w:rFonts w:hint="eastAsia" w:ascii="Times New Roman" w:hAnsi="Times New Roman" w:cs="宋体"/>
                <w:b/>
                <w:color w:val="000000"/>
                <w:sz w:val="16"/>
                <w:szCs w:val="16"/>
              </w:rPr>
              <w:t>32.94</w:t>
            </w:r>
          </w:p>
        </w:tc>
        <w:tc>
          <w:tcPr>
            <w:tcW w:w="84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855"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20.58</w:t>
            </w:r>
          </w:p>
        </w:tc>
        <w:tc>
          <w:tcPr>
            <w:tcW w:w="870" w:type="dxa"/>
            <w:gridSpan w:val="3"/>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0</w:t>
            </w:r>
          </w:p>
        </w:tc>
        <w:tc>
          <w:tcPr>
            <w:tcW w:w="840"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20.58</w:t>
            </w:r>
          </w:p>
        </w:tc>
        <w:tc>
          <w:tcPr>
            <w:tcW w:w="870" w:type="dxa"/>
            <w:tcBorders>
              <w:top w:val="single" w:color="000000" w:sz="4" w:space="0"/>
              <w:left w:val="single" w:color="000000" w:sz="4" w:space="0"/>
              <w:bottom w:val="single" w:color="000000" w:sz="12" w:space="0"/>
              <w:right w:val="single" w:color="000000" w:sz="12" w:space="0"/>
            </w:tcBorders>
            <w:vAlign w:val="center"/>
          </w:tcPr>
          <w:p>
            <w:pPr>
              <w:spacing w:line="567" w:lineRule="exact"/>
              <w:jc w:val="center"/>
              <w:rPr>
                <w:rFonts w:ascii="Times New Roman" w:hAnsi="Times New Roman" w:cs="宋体"/>
                <w:color w:val="000000"/>
                <w:sz w:val="16"/>
                <w:szCs w:val="16"/>
              </w:rPr>
            </w:pPr>
            <w:r>
              <w:rPr>
                <w:rFonts w:hint="eastAsia" w:ascii="Times New Roman" w:hAnsi="Times New Roman" w:cs="宋体"/>
                <w:color w:val="000000"/>
                <w:sz w:val="16"/>
                <w:szCs w:val="16"/>
              </w:rPr>
              <w:t>12.36</w:t>
            </w:r>
          </w:p>
        </w:tc>
      </w:tr>
      <w:tr>
        <w:trPr>
          <w:trHeight w:val="600" w:hRule="atLeast"/>
        </w:trPr>
        <w:tc>
          <w:tcPr>
            <w:tcW w:w="10350" w:type="dxa"/>
            <w:gridSpan w:val="21"/>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注：本表反映部门本年度“三公”经费支出预决算情况。其中，201</w:t>
            </w:r>
            <w:r>
              <w:rPr>
                <w:rFonts w:ascii="Times New Roman" w:hAnsi="Times New Roman" w:cs="宋体"/>
                <w:color w:val="000000"/>
                <w:kern w:val="0"/>
                <w:sz w:val="16"/>
                <w:szCs w:val="16"/>
              </w:rPr>
              <w:t>7</w:t>
            </w:r>
            <w:r>
              <w:rPr>
                <w:rFonts w:hint="eastAsia" w:ascii="Times New Roman" w:hAnsi="Times New Roman" w:cs="宋体"/>
                <w:color w:val="000000"/>
                <w:kern w:val="0"/>
                <w:sz w:val="16"/>
                <w:szCs w:val="16"/>
              </w:rPr>
              <w:t>年度预算数为“三公”经费年初预算数，决算数是包括当年一般公共预算财政拨款和以前年度结转资金安排的实际支出。</w:t>
            </w:r>
          </w:p>
        </w:tc>
      </w:tr>
    </w:tbl>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sectPr>
      </w:pPr>
    </w:p>
    <w:tbl>
      <w:tblPr>
        <w:tblW w:w="10380" w:type="dxa"/>
        <w:tblInd w:w="-8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5"/>
        <w:gridCol w:w="717"/>
        <w:gridCol w:w="1608"/>
        <w:gridCol w:w="1155"/>
        <w:gridCol w:w="1140"/>
        <w:gridCol w:w="1215"/>
        <w:gridCol w:w="288"/>
        <w:gridCol w:w="876"/>
        <w:gridCol w:w="51"/>
        <w:gridCol w:w="1215"/>
        <w:gridCol w:w="1170"/>
      </w:tblGrid>
      <w:tr>
        <w:trPr>
          <w:trHeight w:val="375" w:hRule="atLeast"/>
        </w:trPr>
        <w:tc>
          <w:tcPr>
            <w:tcW w:w="10380" w:type="dxa"/>
            <w:gridSpan w:val="11"/>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政府性基金预算财政拨款收入支出决算表</w:t>
            </w:r>
          </w:p>
        </w:tc>
      </w:tr>
      <w:tr>
        <w:trPr>
          <w:trHeight w:val="285" w:hRule="atLeast"/>
        </w:trPr>
        <w:tc>
          <w:tcPr>
            <w:tcW w:w="1662" w:type="dxa"/>
            <w:gridSpan w:val="2"/>
            <w:vAlign w:val="center"/>
          </w:tcPr>
          <w:p>
            <w:pPr>
              <w:spacing w:line="567" w:lineRule="exact"/>
              <w:rPr>
                <w:rFonts w:ascii="Times New Roman" w:hAnsi="Times New Roman" w:cs="宋体"/>
                <w:color w:val="000000"/>
                <w:sz w:val="16"/>
                <w:szCs w:val="16"/>
              </w:rPr>
            </w:pPr>
          </w:p>
        </w:tc>
        <w:tc>
          <w:tcPr>
            <w:tcW w:w="1608" w:type="dxa"/>
            <w:vAlign w:val="center"/>
          </w:tcPr>
          <w:p>
            <w:pPr>
              <w:spacing w:line="567" w:lineRule="exact"/>
              <w:rPr>
                <w:rFonts w:ascii="Times New Roman" w:hAnsi="Times New Roman" w:cs="宋体"/>
                <w:color w:val="000000"/>
                <w:sz w:val="16"/>
                <w:szCs w:val="16"/>
              </w:rPr>
            </w:pP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公开08表</w:t>
            </w:r>
          </w:p>
        </w:tc>
      </w:tr>
      <w:tr>
        <w:trPr>
          <w:trHeight w:val="270" w:hRule="atLeast"/>
        </w:trPr>
        <w:tc>
          <w:tcPr>
            <w:tcW w:w="1662"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1608" w:type="dxa"/>
            <w:vAlign w:val="center"/>
          </w:tcPr>
          <w:p>
            <w:pPr>
              <w:spacing w:line="567" w:lineRule="exact"/>
              <w:rPr>
                <w:rFonts w:ascii="Times New Roman" w:hAnsi="Times New Roman" w:cs="宋体"/>
                <w:color w:val="000000"/>
                <w:sz w:val="16"/>
                <w:szCs w:val="16"/>
              </w:rPr>
            </w:pP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rPr>
          <w:trHeight w:val="285" w:hRule="atLeast"/>
        </w:trPr>
        <w:tc>
          <w:tcPr>
            <w:tcW w:w="3270"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1155"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年初结转和结余</w:t>
            </w:r>
          </w:p>
        </w:tc>
        <w:tc>
          <w:tcPr>
            <w:tcW w:w="1140"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本年收入</w:t>
            </w:r>
          </w:p>
        </w:tc>
        <w:tc>
          <w:tcPr>
            <w:tcW w:w="3645" w:type="dxa"/>
            <w:gridSpan w:val="5"/>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w:t>
            </w:r>
          </w:p>
        </w:tc>
        <w:tc>
          <w:tcPr>
            <w:tcW w:w="1170" w:type="dxa"/>
            <w:vMerge w:val="restart"/>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年末结转和结余</w:t>
            </w:r>
          </w:p>
        </w:tc>
      </w:tr>
      <w:tr>
        <w:trPr>
          <w:trHeight w:val="409"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功能分类</w:t>
            </w:r>
            <w:r>
              <w:rPr>
                <w:rFonts w:hint="eastAsia" w:ascii="Times New Roman" w:hAnsi="Times New Roman" w:cs="宋体"/>
                <w:b/>
                <w:color w:val="000000"/>
                <w:kern w:val="0"/>
                <w:sz w:val="16"/>
                <w:szCs w:val="16"/>
              </w:rPr>
              <w:br/>
            </w:r>
            <w:r>
              <w:rPr>
                <w:rFonts w:hint="eastAsia" w:ascii="Times New Roman" w:hAnsi="Times New Roman" w:cs="宋体"/>
                <w:b/>
                <w:color w:val="000000"/>
                <w:kern w:val="0"/>
                <w:sz w:val="16"/>
                <w:szCs w:val="16"/>
              </w:rPr>
              <w:t>科目编码</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155"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14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基本支出</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项目支出</w:t>
            </w:r>
          </w:p>
        </w:tc>
        <w:tc>
          <w:tcPr>
            <w:tcW w:w="117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b/>
                <w:color w:val="000000"/>
                <w:sz w:val="16"/>
                <w:szCs w:val="16"/>
              </w:rPr>
            </w:pPr>
          </w:p>
        </w:tc>
      </w:tr>
      <w:tr>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4</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6</w:t>
            </w:r>
          </w:p>
        </w:tc>
      </w:tr>
      <w:tr>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p>
        </w:tc>
      </w:tr>
      <w:tr>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p>
        </w:tc>
      </w:tr>
      <w:tr>
        <w:trPr>
          <w:trHeight w:val="285" w:hRule="atLeast"/>
        </w:trPr>
        <w:tc>
          <w:tcPr>
            <w:tcW w:w="10380" w:type="dxa"/>
            <w:gridSpan w:val="11"/>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注：本表反映部门本年度政府性基金预算财政拨款收入支出及结转和结余情况。</w:t>
            </w:r>
          </w:p>
        </w:tc>
      </w:tr>
      <w:tr>
        <w:trPr>
          <w:trHeight w:val="285" w:hRule="atLeast"/>
        </w:trPr>
        <w:tc>
          <w:tcPr>
            <w:tcW w:w="10380" w:type="dxa"/>
            <w:gridSpan w:val="11"/>
            <w:vAlign w:val="center"/>
          </w:tcPr>
          <w:p>
            <w:pPr>
              <w:widowControl/>
              <w:spacing w:line="567" w:lineRule="exact"/>
              <w:textAlignment w:val="center"/>
              <w:rPr>
                <w:rFonts w:ascii="Times New Roman" w:hAnsi="Times New Roman" w:cs="宋体"/>
                <w:b/>
                <w:color w:val="000000"/>
                <w:sz w:val="20"/>
                <w:szCs w:val="20"/>
              </w:rPr>
            </w:pPr>
            <w:r>
              <w:rPr>
                <w:rFonts w:hint="eastAsia" w:ascii="Times New Roman" w:hAnsi="Times New Roman" w:cs="宋体"/>
                <w:b/>
                <w:kern w:val="0"/>
                <w:sz w:val="20"/>
                <w:szCs w:val="20"/>
              </w:rPr>
              <w:t>（该报表全部数据为零时）说明：本部门没有政府性基金收入，也没有使用政府性基金安排的支出，故本表无数据。</w:t>
            </w:r>
          </w:p>
        </w:tc>
      </w:tr>
    </w:tbl>
    <w:p>
      <w:pPr>
        <w:widowControl/>
        <w:adjustRightInd w:val="0"/>
        <w:snapToGrid w:val="0"/>
        <w:spacing w:line="567" w:lineRule="exact"/>
        <w:rPr>
          <w:rFonts w:ascii="Times New Roman" w:hAnsi="Times New Roman" w:eastAsia="方正小标宋简体"/>
          <w:sz w:val="36"/>
          <w:szCs w:val="36"/>
        </w:rPr>
      </w:pPr>
    </w:p>
    <w:p>
      <w:pPr>
        <w:spacing w:line="567" w:lineRule="exact"/>
        <w:rPr>
          <w:rFonts w:ascii="仿宋_GB2312" w:hAnsi="仿宋_GB2312" w:eastAsia="仿宋_GB2312" w:cs="仿宋_GB2312"/>
          <w:sz w:val="32"/>
          <w:szCs w:val="32"/>
        </w:rPr>
        <w:sectPr>
          <w:type w:val="continuous"/>
          <w:pgSz w:w="11906" w:h="16838"/>
          <w:pgMar w:top="2211" w:right="1418" w:bottom="1871" w:left="1531" w:header="720" w:footer="720" w:gutter="0"/>
          <w:cols w:space="720" w:num="1"/>
          <w:docGrid w:type="lines" w:linePitch="312"/>
        </w:sect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第三部分</w:t>
      </w:r>
    </w:p>
    <w:p>
      <w:pPr>
        <w:widowControl/>
        <w:spacing w:line="567" w:lineRule="exact"/>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widowControl/>
        <w:spacing w:line="567" w:lineRule="exact"/>
        <w:jc w:val="left"/>
        <w:rPr>
          <w:rFonts w:ascii="黑体" w:hAnsi="黑体" w:eastAsia="黑体" w:cs="黑体"/>
          <w:sz w:val="48"/>
          <w:szCs w:val="48"/>
        </w:rPr>
        <w:sectPr>
          <w:footerReference r:id="rId10" w:type="default"/>
          <w:type w:val="continuous"/>
          <w:pgSz w:w="11906" w:h="16838"/>
          <w:pgMar w:top="2211" w:right="1418" w:bottom="1871" w:left="1531" w:header="720" w:footer="720" w:gutter="0"/>
          <w:cols w:space="720" w:num="1"/>
          <w:docGrid w:type="lines" w:linePitch="312"/>
        </w:sectPr>
      </w:pP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tabs>
          <w:tab w:val="left" w:pos="5387"/>
        </w:tabs>
        <w:adjustRightInd w:val="0"/>
        <w:snapToGrid w:val="0"/>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收、支总计均为3281.35万元。2016年度收支总计均为2650.82万元。与2016年度相比，收、支总计各增加630.53万元，增长23.79%。主要原因是一正常晋级晋档等工资调标，预算收入和支出相应增加；二增加财政转移支付的贴息。</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tabs>
          <w:tab w:val="left" w:pos="5387"/>
        </w:tabs>
        <w:adjustRightInd w:val="0"/>
        <w:snapToGrid w:val="0"/>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2017年度收入合计3281.23万元，其中：财政拨款收入3236.05万元，占98.62%；其他收入45.18万元，占1.38%。</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tabs>
          <w:tab w:val="left" w:pos="5387"/>
        </w:tabs>
        <w:adjustRightInd w:val="0"/>
        <w:snapToGrid w:val="0"/>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2017年度支出合计3269.71万元，其中：基本支出3216.60万元，占98.38%；项目支出53.11万元，占1.62%。</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财政拨款收、支总计均为3236.17万元。2016年度财政拨款收、支总计均为2619.81万元。与2016年度相比，财政拨款收、支总计各增加616.36万元，增长23.53%。主要原因是一正常晋级晋档等工资调标，预算收入和支出相应增加；二增加财政转移支付的利息补贴。</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3236.17万元，占支出合计的98.62%。2016年度一般公共预算财政拨款支出2619.81万元。与2016年度相比，一般公共预算财政拨款支出增加616.36万元，增长23.53%。主要原因是一正常晋级晋档等工资调标，预算收入和支出相应增加；二增加财政转移支付。</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（二）结构情况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本年支出合计3236.05万元，主要用于以下方面：社会保障和就业（类）支出471.39万元，占14.57%，主要用于局机关和事业单位离退休人员工资、遗属补助、退役士兵安置、抚恤金和丧葬费；医疗卫生与计划生育（类）支出34.25万元，占1.06%，主要是粮食局按照国家有关规定为职工缴纳医疗保险费支出；住房保障（类）支出67.42万元，占2.08%，主要是用于机关按照国家有关规定为职工缴纳住房公积金支出；粮油物资储备（类）支出2662.99万元，占82.29%，主要反映政府用于粮油物资储备方面的支出，包含行政运行、粮食信息统计、事业运行、其他粮油事务支出及储备粮油补贴支出。</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2017年度一般公共预算财政拨款年末结余为0.12万元。</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2017年度一般公共预算财政拨款总计为3236.17万元。</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（三）具体情况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年初预算为11264.17万元，支出决算为3236.17万元（2017年本年支出合计3236.05万元，年末财政拨款结转和结余0.12万元），完成年初预算的28.73%。决算数与年初预算数存在差异的主要原因：</w:t>
      </w:r>
      <w:r>
        <w:rPr>
          <w:rFonts w:ascii="仿宋_GB2312" w:hAnsi="仿宋_GB2312" w:eastAsia="仿宋_GB2312" w:cs="仿宋_GB2312"/>
          <w:sz w:val="32"/>
          <w:szCs w:val="32"/>
        </w:rPr>
        <w:t xml:space="preserve"> </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1．社会保障和就业支出（类）行政事业单位离退休（款）归口管理的行政单位离退休（项）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年初预算为165.92万元，支出决算为321.17万元，完成年初预算的1.94%。决算数大于预算数主要原因是一是预算追加离退休人员健康休养费；二是工资政策变动，落实离退休人员文明奖提标等追加人员经费。</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2．社会保障和就业支出（类）行政事业单位离退休（款）事业单位离退休（项）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年初预算为3.80万元，支出决算为26.01万元，完成年初预算的6.84%。决算数大于预算数的主要原因是工资政策变动，事业单位离退休人员工资增加。</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3．社会保障和就业支出（类）行政事业单位离退休（款）机关事业单位基本养老保险缴费支出（项）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年初预算为104.75万元，支出决算为84.17万元，完成年初预算的80.35%。决算数小于预算数的主要原因是基本养老以实际参保人员人数为准。</w:t>
      </w:r>
    </w:p>
    <w:p>
      <w:pPr>
        <w:widowControl/>
        <w:spacing w:line="567" w:lineRule="exact"/>
        <w:ind w:firstLine="640" w:firstLineChars="200"/>
        <w:rPr>
          <w:rFonts w:ascii="仿宋_GB2312" w:hAnsi="仿宋_GB2312" w:eastAsia="仿宋_GB2312" w:cs="仿宋_GB2312"/>
          <w:sz w:val="32"/>
          <w:szCs w:val="32"/>
        </w:rPr>
      </w:pPr>
    </w:p>
    <w:p>
      <w:pPr>
        <w:widowControl/>
        <w:spacing w:line="567" w:lineRule="exact"/>
        <w:ind w:firstLine="640" w:firstLineChars="200"/>
        <w:rPr>
          <w:rFonts w:ascii="仿宋_GB2312" w:hAnsi="仿宋_GB2312" w:eastAsia="仿宋_GB2312" w:cs="仿宋_GB2312"/>
          <w:sz w:val="32"/>
          <w:szCs w:val="32"/>
        </w:rPr>
      </w:pPr>
    </w:p>
    <w:p>
      <w:pPr>
        <w:widowControl/>
        <w:spacing w:line="567" w:lineRule="exact"/>
        <w:ind w:firstLine="640" w:firstLineChars="200"/>
        <w:rPr>
          <w:rFonts w:ascii="仿宋_GB2312" w:hAnsi="仿宋_GB2312" w:eastAsia="仿宋_GB2312" w:cs="仿宋_GB2312"/>
          <w:sz w:val="32"/>
          <w:szCs w:val="32"/>
        </w:rPr>
      </w:pP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4．社会保障和就业支出（类）退役安置（款）退役士兵安置（项）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年初预算为0万元，支出决算为40.04万元。决算数大于预算数的主要原因是年中追加的退役士兵军转干部的困难补助。</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5．医疗卫生与计划生育支出（类）行政事业单位医疗（款）行政单位医疗（项）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年初预算为30.81万元，支出决算为23.92万元，完成年初预算的77.64%。决算数小于预算数的主要原因是基本医疗以实际参保人员结算。</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6．医疗卫生与计划生育支出（类）行政事业单位医疗（款）事业单位医疗（项）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年初预算为11.09万元，支出决算为10.32万元，完成年初预算的93.06%。决算数小于预算数的主要原因是单位人员变动，基本医疗以实际参保人员结算。</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7．住房保障支出（类）住房改革支出（款）住房公积金（项）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年初预算为75.70万元，支出决算为67.42万元，完成年初预算的89.06%。决算数小于预算数的主要原因是单位人员变动，住房公积金以实际人数为准。</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8．粮油物资储备支出（类）粮油事务（款）行政运行（项）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年初预算为721.36万元，支出决算为872.11万元，完成年初预算的1.21%。决算数大于预算数的主要原因是追加正常增人增资、晋级晋档、工资调标经费等。</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9．粮油物资储备支出（类）粮油事务（款）粮食信息统计（项）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年初预算为0万元，支出决算为24.21万元，完成年初预算的1.21%。决算数大于预算数的主要原因是年中追加的信息网络与软件购置更新费用。</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10．粮油物资储备支出（类）粮油事务（款）事业运行（项）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年初预算为238.77万元，支出决算为349.77万元，完成年初预算的1.46%。决算数大于预算数的主要原因是事业单位追加正常增人增资、晋级晋档、工资调标经费等。</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11．粮油物资储备支出（类）粮油事务（款）其他粮油事务支出（项）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年初预算为0万元，支出决算为1188.90万元。决算数大于预算数的主要原因是一年中购买专用设备28.90万元；二对企事业单位的补贴—财政贴息1160万元。</w:t>
      </w:r>
    </w:p>
    <w:p>
      <w:pPr>
        <w:widowControl/>
        <w:spacing w:line="567"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12．粮油物资储备支出（类）粮油储备（款）储备粮油补贴（项）</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9917.4万元，支出决算为228万元，完成年初预算的2.30%。决算数小于预算数的主要原因是一年初预算的9917.4万元是局机关的保管费、轮换费、贴息专项，但其不通过我局零余额账户，由财政直接拨付，因此在年终不出现在我局决算核算中；二年终决算数的228万元是我局信息中心第一季度的包干及补发的工资福利支出。</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基本支出3182.93万元,2016年度一般公共预算财政拨款基本支出2007.75万元。与2016年度相比，增加1175.18万元，增长58.53%，主要原因：一是2017年落实正常增人增资、晋级晋档；二是随着粮食系统工作不断深入，工作业务量增大，相应增加运行经费；三是物价普遍上涨，费用上浮。其中：人员经费1623.25万元，主要包括：基本工资、津贴补贴、绩效工资、机关事业单位基本养老保险缴费、职业年金缴费、其他社会保障缴费、其他工资福利支出、离休费、退休费、抚恤金、生活补助、医疗费、奖励金、住房公积金、采暖补贴、物业服务补贴、其他对个人和家庭的补助支出等；公用经费1559.68万元，主要包括：办公费、印刷费、咨询费、手续费、水费、电费、邮电费、差旅费、维修（护）费、会议费、培训费、公务接待费、专用材料费、劳务费、委托业务费、工会经费、福利费、公务用车运行维护费、其他交通费用、其他商品和服务支出、办公设备购置、专用设备购置、信息网络及软件购置更新等。</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预算为34.35万元，支出决算为32.94万元，完成预算的95.90%。2017年度“三公”经费支出决算数小于年初预算数的原因是郑州市粮食局认真贯彻落实中央八项规定精神，坚持厉行节约，进一步规范公务接待，强化公务用车管理，严格控制“三公”经费支出，全年实际支出比预算有所节约。</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中，因公出国（境）费支出决算0万元，完成预算的0%，占决算数的0%；公务用车购置及运行费支出决算20.58万元，完成预算的96.39%，占决算数的62.48%；公务接待费支出决算12.36万元，完成预算的95.08%，占决算数的37.52%。具体情况如下：</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1．因公出国（境）费</w:t>
      </w:r>
      <w:r>
        <w:rPr>
          <w:rFonts w:hint="eastAsia" w:ascii="仿宋_GB2312" w:hAnsi="仿宋_GB2312" w:eastAsia="仿宋_GB2312" w:cs="仿宋_GB2312"/>
          <w:sz w:val="32"/>
          <w:szCs w:val="32"/>
        </w:rPr>
        <w:t>支出0万元。全年安排局机关及下属事业单位因公出国（境）团组0个，累计0人次。</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2．公务用车购置及运行费</w:t>
      </w:r>
      <w:r>
        <w:rPr>
          <w:rFonts w:hint="eastAsia" w:ascii="仿宋_GB2312" w:hAnsi="仿宋_GB2312" w:eastAsia="仿宋_GB2312" w:cs="仿宋_GB2312"/>
          <w:sz w:val="32"/>
          <w:szCs w:val="32"/>
        </w:rPr>
        <w:t>支出20.58万元。其中：</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公务用车购置支出为0万元，购置车辆0台。</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公务用车运行支出20.58万元。主要用于机要文件交换、公务出行所需车辆燃料费、维修费、过路过桥费、保险费等支出。2017年度期末，部门财政拨款公务用车保有量10辆，其中：一般公务用车10辆。</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2016年公务用车购置及运行费支出决算为21.09万元，2017公务用车购置及运行费支出决算比2016年度减少0.51万元，下降2.42%，下降主要原因是认真贯彻落实中央八项规定精神，坚持厉行节约，强化公务用车管理。</w:t>
      </w:r>
    </w:p>
    <w:p>
      <w:pPr>
        <w:widowControl/>
        <w:spacing w:line="567" w:lineRule="exact"/>
        <w:ind w:firstLine="640" w:firstLineChars="200"/>
        <w:rPr>
          <w:rFonts w:ascii="仿宋_GB2312" w:hAnsi="仿宋_GB2312" w:eastAsia="仿宋_GB2312" w:cs="仿宋_GB2312"/>
          <w:sz w:val="32"/>
          <w:szCs w:val="32"/>
        </w:rPr>
      </w:pP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3.公务接待费</w:t>
      </w:r>
      <w:r>
        <w:rPr>
          <w:rFonts w:hint="eastAsia" w:ascii="仿宋_GB2312" w:hAnsi="仿宋_GB2312" w:eastAsia="仿宋_GB2312" w:cs="仿宋_GB2312"/>
          <w:sz w:val="32"/>
          <w:szCs w:val="32"/>
        </w:rPr>
        <w:t>支出12.36万元。其中：</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外宾接待支出0万元。</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其他国内公务接待支出12.36万元。主要用于局本级及下属事业单位与国内、省内相关单位交流工作情况等事项发生的接待支出。</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2016年度公务接待费支出为17.05万元。2017年度公务接待费支出决算比2016年度减少4.69万元，下降27.51%,主要原因是坚持厉行节约，严格执行接待费管理办法，进一步规范公务接待。</w:t>
      </w:r>
    </w:p>
    <w:p>
      <w:pPr>
        <w:widowControl/>
        <w:spacing w:line="567"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郑州市粮食局（本级及二级机构）2017年度共接待</w:t>
      </w:r>
      <w:r>
        <w:rPr>
          <w:rFonts w:hint="eastAsia" w:ascii="仿宋_GB2312" w:hAnsi="仿宋_GB2312" w:eastAsia="仿宋_GB2312" w:cs="仿宋_GB2312"/>
          <w:bCs/>
          <w:sz w:val="32"/>
          <w:szCs w:val="32"/>
        </w:rPr>
        <w:t>国内公务接待批次为29批次，国内公务接待人次为294人次。</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我局2017年度有一个专项录入预算系统，项目名称为保管费、轮换费、贴息，经财政局审核，我局2017年专项未录入预算绩效系统。</w:t>
      </w:r>
    </w:p>
    <w:p>
      <w:pPr>
        <w:widowControl/>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（二）项目绩效自评结果</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2017年度郑州市粮食局本级及下属事业单位均没有政府性基金收入，也没有政府性基金支出。</w:t>
      </w:r>
    </w:p>
    <w:p>
      <w:pPr>
        <w:widowControl/>
        <w:spacing w:line="567" w:lineRule="exact"/>
        <w:ind w:firstLine="640" w:firstLineChars="200"/>
        <w:rPr>
          <w:rFonts w:ascii="仿宋_GB2312" w:hAnsi="仿宋_GB2312" w:eastAsia="仿宋_GB2312" w:cs="仿宋_GB2312"/>
          <w:sz w:val="32"/>
          <w:szCs w:val="32"/>
        </w:rPr>
      </w:pP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2017年度机关运行经费支出1468.92万元，2016年度机关运行经费支出为292.41万元。较2016年度增加1176.51万元，增长402.35%。增加的主要原因是我局局机关在2017年支出一笔1160万的财政贴息。</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政府采购支出总额29.51万元，其中：政府采购货物支出27.41万元，政府采购工程支出1.5万元，政府采购服务支出0.6万元。授予中小企业合同金额29.51万元，占政府采购支出总额的100%，其中：授予小微企业合同金额0万元，占政府采购支出总额的0%。</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2017年期末，郑州市粮食局（局本级及二级机构）共有车辆10辆，其中：一般公务用车10辆；单位价值50万元以上通用设备10台（套），单位价值100万元以上专用设备0台（套）。</w:t>
      </w:r>
    </w:p>
    <w:p>
      <w:pPr>
        <w:widowControl/>
        <w:spacing w:line="567" w:lineRule="exact"/>
        <w:ind w:firstLine="640" w:firstLineChars="200"/>
        <w:rPr>
          <w:rFonts w:ascii="黑体" w:hAnsi="黑体" w:eastAsia="黑体" w:cs="黑体"/>
          <w:sz w:val="32"/>
          <w:szCs w:val="32"/>
        </w:rPr>
        <w:sectPr>
          <w:footerReference r:id="rId11" w:type="default"/>
          <w:type w:val="continuous"/>
          <w:pgSz w:w="11906" w:h="16838"/>
          <w:pgMar w:top="2211" w:right="1418" w:bottom="1871" w:left="1531" w:header="720" w:footer="720" w:gutter="0"/>
          <w:cols w:space="720" w:num="1"/>
          <w:docGrid w:type="lines" w:linePitch="312"/>
        </w:sectPr>
      </w:pPr>
      <w:r>
        <w:rPr>
          <w:rFonts w:hint="eastAsia" w:ascii="黑体" w:hAnsi="黑体" w:eastAsia="黑体" w:cs="黑体"/>
          <w:sz w:val="32"/>
          <w:szCs w:val="32"/>
        </w:rPr>
        <w:t>十三、其他重要事项的情况说明</w:t>
      </w:r>
    </w:p>
    <w:p>
      <w:pPr>
        <w:spacing w:line="567" w:lineRule="exact"/>
        <w:jc w:val="left"/>
        <w:rPr>
          <w:rFonts w:ascii="黑体" w:hAnsi="黑体" w:eastAsia="黑体" w:cs="黑体"/>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无</w:t>
      </w:r>
    </w:p>
    <w:p>
      <w:pPr>
        <w:spacing w:line="567" w:lineRule="exact"/>
        <w:jc w:val="left"/>
        <w:rPr>
          <w:rFonts w:ascii="黑体" w:hAnsi="黑体" w:eastAsia="黑体" w:cs="黑体"/>
          <w:sz w:val="32"/>
          <w:szCs w:val="32"/>
        </w:rPr>
      </w:pPr>
    </w:p>
    <w:p>
      <w:pPr>
        <w:spacing w:line="567" w:lineRule="exact"/>
        <w:jc w:val="left"/>
        <w:rPr>
          <w:rFonts w:hint="eastAsia" w:ascii="黑体" w:hAnsi="黑体" w:eastAsia="黑体" w:cs="黑体"/>
          <w:sz w:val="32"/>
          <w:szCs w:val="32"/>
        </w:rPr>
      </w:pPr>
    </w:p>
    <w:p>
      <w:pPr>
        <w:spacing w:line="567" w:lineRule="exact"/>
        <w:jc w:val="left"/>
        <w:rPr>
          <w:rFonts w:hint="eastAsia" w:ascii="黑体" w:hAnsi="黑体" w:eastAsia="黑体" w:cs="黑体"/>
          <w:sz w:val="32"/>
          <w:szCs w:val="32"/>
        </w:rPr>
      </w:pPr>
    </w:p>
    <w:p>
      <w:pPr>
        <w:spacing w:line="567" w:lineRule="exact"/>
        <w:jc w:val="left"/>
        <w:rPr>
          <w:rFonts w:hint="eastAsia"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第四部分　　名词解释</w:t>
      </w:r>
    </w:p>
    <w:p>
      <w:pPr>
        <w:spacing w:line="567" w:lineRule="exact"/>
        <w:jc w:val="center"/>
        <w:outlineLvl w:val="0"/>
        <w:rPr>
          <w:rFonts w:ascii="方正仿宋_GBK" w:hAnsi="方正仿宋_GBK" w:eastAsia="方正仿宋_GBK" w:cs="方正仿宋_GBK"/>
          <w:sz w:val="48"/>
          <w:szCs w:val="48"/>
        </w:rPr>
      </w:pPr>
    </w:p>
    <w:p>
      <w:pPr>
        <w:spacing w:line="567" w:lineRule="exact"/>
        <w:jc w:val="center"/>
        <w:outlineLvl w:val="0"/>
        <w:rPr>
          <w:rFonts w:ascii="方正仿宋_GBK" w:hAnsi="方正仿宋_GBK" w:eastAsia="方正仿宋_GBK" w:cs="方正仿宋_GBK"/>
          <w:sz w:val="48"/>
          <w:szCs w:val="48"/>
        </w:rPr>
        <w:sectPr>
          <w:footerReference r:id="rId12" w:type="default"/>
          <w:type w:val="continuous"/>
          <w:pgSz w:w="11906" w:h="16838"/>
          <w:pgMar w:top="2211" w:right="1418" w:bottom="1871" w:left="1531" w:header="850" w:footer="992" w:gutter="0"/>
          <w:cols w:space="720" w:num="1"/>
          <w:docGrid w:type="lines" w:linePitch="317"/>
        </w:sectPr>
      </w:pP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spacing w:line="567" w:lineRule="exact"/>
        <w:ind w:firstLine="640" w:firstLineChars="200"/>
        <w:jc w:val="left"/>
        <w:rPr>
          <w:rFonts w:ascii="仿宋_GB2312" w:hAnsi="仿宋_GB2312" w:eastAsia="仿宋_GB2312" w:cs="仿宋_GB2312"/>
          <w:sz w:val="32"/>
          <w:szCs w:val="32"/>
        </w:rPr>
      </w:pP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附件：河南省郑州市粮食局汇总（2017年度决算公开套表）</w:t>
      </w:r>
    </w:p>
    <w:p>
      <w:pPr>
        <w:widowControl/>
        <w:spacing w:line="567" w:lineRule="exact"/>
        <w:ind w:firstLine="640" w:firstLineChars="200"/>
        <w:jc w:val="left"/>
        <w:rPr>
          <w:rFonts w:ascii="仿宋_GB2312" w:hAnsi="仿宋_GB2312" w:eastAsia="仿宋_GB2312" w:cs="仿宋_GB2312"/>
          <w:sz w:val="32"/>
          <w:szCs w:val="32"/>
        </w:rPr>
      </w:pPr>
    </w:p>
    <w:p>
      <w:pPr>
        <w:widowControl/>
        <w:spacing w:line="567" w:lineRule="exact"/>
        <w:ind w:firstLine="640" w:firstLineChars="200"/>
        <w:jc w:val="left"/>
        <w:rPr>
          <w:rFonts w:ascii="仿宋_GB2312" w:hAnsi="仿宋_GB2312" w:eastAsia="仿宋_GB2312" w:cs="仿宋_GB2312"/>
          <w:sz w:val="32"/>
          <w:szCs w:val="32"/>
        </w:rPr>
      </w:pPr>
    </w:p>
    <w:p>
      <w:pPr>
        <w:widowControl/>
        <w:spacing w:line="567" w:lineRule="exact"/>
        <w:ind w:firstLine="640" w:firstLineChars="200"/>
        <w:jc w:val="left"/>
        <w:rPr>
          <w:rFonts w:ascii="仿宋_GB2312" w:hAnsi="仿宋_GB2312" w:eastAsia="仿宋_GB2312" w:cs="仿宋_GB2312"/>
          <w:sz w:val="32"/>
          <w:szCs w:val="32"/>
        </w:rPr>
      </w:pPr>
    </w:p>
    <w:p>
      <w:pPr>
        <w:widowControl/>
        <w:spacing w:line="567" w:lineRule="exact"/>
        <w:ind w:firstLine="640" w:firstLineChars="200"/>
        <w:jc w:val="left"/>
        <w:rPr>
          <w:rFonts w:ascii="仿宋_GB2312" w:hAnsi="仿宋_GB2312" w:eastAsia="仿宋_GB2312" w:cs="仿宋_GB2312"/>
          <w:sz w:val="32"/>
          <w:szCs w:val="32"/>
        </w:rPr>
      </w:pPr>
    </w:p>
    <w:p>
      <w:pPr>
        <w:widowControl/>
        <w:spacing w:line="567" w:lineRule="exact"/>
        <w:ind w:firstLine="640" w:firstLineChars="200"/>
        <w:jc w:val="left"/>
        <w:rPr>
          <w:rFonts w:ascii="仿宋_GB2312" w:hAnsi="仿宋_GB2312" w:eastAsia="仿宋_GB2312" w:cs="仿宋_GB2312"/>
          <w:sz w:val="32"/>
          <w:szCs w:val="32"/>
        </w:rPr>
      </w:pP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pacing w:line="567" w:lineRule="exact"/>
        <w:ind w:firstLine="640" w:firstLineChars="200"/>
        <w:jc w:val="left"/>
        <w:rPr>
          <w:rFonts w:ascii="仿宋_GB2312" w:hAnsi="仿宋_GB2312" w:eastAsia="仿宋_GB2312" w:cs="仿宋_GB2312"/>
          <w:sz w:val="32"/>
          <w:szCs w:val="32"/>
        </w:rPr>
      </w:pPr>
    </w:p>
    <w:p>
      <w:pPr>
        <w:widowControl/>
        <w:spacing w:line="567" w:lineRule="exact"/>
        <w:ind w:firstLine="5760" w:firstLineChars="1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郑州市粮食局</w:t>
      </w:r>
    </w:p>
    <w:p>
      <w:pPr>
        <w:widowControl/>
        <w:spacing w:line="567" w:lineRule="exact"/>
        <w:ind w:firstLine="5600" w:firstLineChars="1750"/>
        <w:jc w:val="left"/>
        <w:rPr>
          <w:rFonts w:ascii="仿宋_GB2312" w:hAnsi="仿宋_GB2312" w:eastAsia="仿宋_GB2312" w:cs="仿宋_GB2312"/>
          <w:sz w:val="32"/>
          <w:szCs w:val="32"/>
        </w:rPr>
        <w:sectPr>
          <w:footerReference r:id="rId13" w:type="default"/>
          <w:type w:val="continuous"/>
          <w:pgSz w:w="11906" w:h="16838"/>
          <w:pgMar w:top="2211" w:right="1418" w:bottom="1871" w:left="1531" w:header="851" w:footer="992" w:gutter="0"/>
          <w:cols w:space="720" w:num="1"/>
          <w:docGrid w:type="lines" w:linePitch="319"/>
        </w:sectPr>
      </w:pPr>
      <w:r>
        <w:rPr>
          <w:rFonts w:hint="eastAsia" w:ascii="仿宋_GB2312" w:hAnsi="仿宋_GB2312" w:eastAsia="仿宋_GB2312" w:cs="仿宋_GB2312"/>
          <w:sz w:val="32"/>
          <w:szCs w:val="32"/>
        </w:rPr>
        <w:t>2018年11月28日</w:t>
      </w:r>
    </w:p>
    <w:p>
      <w:pPr>
        <w:widowControl/>
        <w:adjustRightInd w:val="0"/>
        <w:snapToGrid w:val="0"/>
        <w:spacing w:line="567" w:lineRule="exact"/>
        <w:rPr>
          <w:rFonts w:ascii="Times New Roman" w:hAnsi="Times New Roman" w:eastAsia="仿宋_GB2312"/>
          <w:sz w:val="32"/>
          <w:szCs w:val="32"/>
        </w:rPr>
      </w:pPr>
      <w:bookmarkStart w:id="0" w:name="_GoBack"/>
      <w:bookmarkEnd w:id="0"/>
    </w:p>
    <w:sectPr>
      <w:type w:val="continuous"/>
      <w:pgSz w:w="16838" w:h="11906" w:orient="landscape"/>
      <w:pgMar w:top="2211" w:right="1418" w:bottom="1871" w:left="1531" w:header="851" w:footer="992" w:gutter="0"/>
      <w:cols w:space="720" w:num="1"/>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1" w:usb1="080E0000" w:usb2="00000010" w:usb3="00000000" w:csb0="00040000" w:csb1="00000000"/>
  </w:font>
  <w:font w:name="方正小标宋简体">
    <w:altName w:val="微软雅黑"/>
    <w:panose1 w:val="00000000000000000000"/>
    <w:charset w:val="86"/>
    <w:family w:val="auto"/>
    <w:pitch w:val="default"/>
    <w:sig w:usb0="00000001" w:usb1="080E0000" w:usb2="00000010" w:usb3="00000000" w:csb0="00040000" w:csb1="00000000"/>
  </w:font>
  <w:font w:name="楷体_GB2312">
    <w:altName w:val="楷体"/>
    <w:panose1 w:val="00000000000000000000"/>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Calibri Light">
    <w:altName w:val="Calibri"/>
    <w:panose1 w:val="00000000000000000000"/>
    <w:charset w:val="00"/>
    <w:family w:val="auto"/>
    <w:pitch w:val="default"/>
    <w:sig w:usb0="00000001" w:usb1="4000207B" w:usb2="00000000" w:usb3="00000000" w:csb0="0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73" o:spid="_x0000_s1025" type="#_x0000_t202" style="position:absolute;left:0;margin-top:-9.75pt;height:144pt;width:144pt;mso-position-horizontal:outside;mso-position-horizontal-relative:margin;mso-wrap-style:none;rotation:0f;z-index:25167462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74" o:spid="_x0000_s1026" type="#_x0000_t202" style="position:absolute;left:0;margin-top:-7.5pt;height:144pt;width:144pt;mso-position-horizontal:outside;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34</w:t>
    </w:r>
    <w:r>
      <w:rPr>
        <w:rFonts w:ascii="宋体" w:hAnsi="宋体"/>
        <w:sz w:val="28"/>
        <w:szCs w:val="28"/>
      </w:rPr>
      <w:fldChar w:fldCharType="end"/>
    </w:r>
    <w:r>
      <w:rPr>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75" o:spid="_x0000_s1027" type="#_x0000_t202" style="position:absolute;left:0;margin-top:-23.25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76" o:spid="_x0000_s1028"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77" o:spid="_x0000_s1029" type="#_x0000_t202" style="position:absolute;left:0;margin-top:-22.5pt;height:144pt;width:144pt;mso-position-horizontal:outside;mso-position-horizontal-relative:margin;mso-wrap-style:none;rotation:0f;z-index:25167564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78" o:spid="_x0000_s1030" type="#_x0000_t202" style="position:absolute;left:0;margin-left:363.35pt;margin-top:806.9pt;height:144pt;width:144pt;mso-position-horizontal-relative:margin;mso-position-vertical-relative:page;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p>
            </w:txbxContent>
          </v:textbox>
        </v:shape>
      </w:pict>
    </w:r>
    <w:r>
      <w:rPr>
        <w:rFonts w:ascii="Times New Roman" w:hAnsi="Times New Roman" w:eastAsia="宋体" w:cs="Times New Roman"/>
        <w:kern w:val="2"/>
        <w:sz w:val="18"/>
        <w:szCs w:val="18"/>
        <w:lang w:val="en-US" w:eastAsia="zh-CN" w:bidi="ar-SA"/>
      </w:rPr>
      <w:pict>
        <v:shape id="_x0000_s3079" o:spid="_x0000_s1031"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80" o:spid="_x0000_s1032" type="#_x0000_t202" style="position:absolute;left:0;margin-top:-19.5pt;height:144pt;width:144pt;mso-position-horizontal:outside;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81" o:spid="_x0000_s1033" type="#_x0000_t202" style="position:absolute;left:0;margin-left:363.35pt;margin-top:806.9pt;height:144pt;width:144pt;mso-position-horizontal-relative:margin;mso-position-vertical-relative:page;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p>
            </w:txbxContent>
          </v:textbox>
        </v:shape>
      </w:pict>
    </w:r>
    <w:r>
      <w:rPr>
        <w:rFonts w:ascii="Times New Roman" w:hAnsi="Times New Roman" w:eastAsia="宋体" w:cs="Times New Roman"/>
        <w:kern w:val="2"/>
        <w:sz w:val="18"/>
        <w:szCs w:val="18"/>
        <w:lang w:val="en-US" w:eastAsia="zh-CN" w:bidi="ar-SA"/>
      </w:rPr>
      <w:pict>
        <v:shape id="_x0000_s3082" o:spid="_x0000_s1034" type="#_x0000_t202" style="position:absolute;left:0;margin-top:0pt;height:144pt;width:144pt;mso-position-horizontal:center;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83" o:spid="_x0000_s1035" type="#_x0000_t202" style="position:absolute;left:0;margin-top:-30pt;height:144pt;width:144pt;mso-position-horizontal:outside;mso-position-horizontal-relative:margin;mso-wrap-style:none;rotation:0f;z-index:25167667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84" o:spid="_x0000_s1036" type="#_x0000_t202" style="position:absolute;left:0;margin-left:363.35pt;margin-top:806.9pt;height:144pt;width:144pt;mso-position-horizontal-relative:margin;mso-position-vertical-relative:page;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p>
            </w:txbxContent>
          </v:textbox>
        </v:shape>
      </w:pict>
    </w:r>
    <w:r>
      <w:rPr>
        <w:rFonts w:ascii="Times New Roman" w:hAnsi="Times New Roman" w:eastAsia="宋体" w:cs="Times New Roman"/>
        <w:kern w:val="2"/>
        <w:sz w:val="18"/>
        <w:szCs w:val="18"/>
        <w:lang w:val="en-US" w:eastAsia="zh-CN" w:bidi="ar-SA"/>
      </w:rPr>
      <w:pict>
        <v:shape id="_x0000_s3085" o:spid="_x0000_s1037" type="#_x0000_t202" style="position:absolute;left:0;margin-top:0pt;height:144pt;width:144pt;mso-position-horizontal:center;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86" o:spid="_x0000_s1038" type="#_x0000_t202" style="position:absolute;left:0;margin-top:0pt;height:144pt;width:144pt;mso-position-horizontal:outside;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87" o:spid="_x0000_s1039"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Times New Roman" w:hAnsi="Times New Roman"/>
                    <w:sz w:val="28"/>
                    <w:szCs w:val="2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88" o:spid="_x0000_s1040" type="#_x0000_t202" style="position:absolute;left:0;margin-top:-24pt;height:144pt;width:144pt;mso-position-horizontal:outside;mso-position-horizontal-relative:margin;mso-wrap-style:none;rotation:0f;z-index:25167769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89" o:spid="_x0000_s1041" type="#_x0000_t202" style="position:absolute;left:0;margin-top:0pt;height:144pt;width:144pt;mso-position-horizontal:outside;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Times New Roman" w:hAnsi="Times New Roman"/>
                    <w:sz w:val="28"/>
                    <w:szCs w:val="28"/>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90" o:spid="_x0000_s1042" type="#_x0000_t202" style="position:absolute;left:0;margin-top:-23.25pt;height:144pt;width:144pt;mso-position-horizontal:outside;mso-position-horizontal-relative:margin;mso-wrap-style:none;rotation:0f;z-index:25167257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91" o:spid="_x0000_s1043" type="#_x0000_t202" style="position:absolute;left:0;margin-top:0pt;height:144pt;width:144pt;mso-position-horizontal:outside;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Times New Roman" w:hAnsi="Times New Roman"/>
                    <w:sz w:val="28"/>
                    <w:szCs w:val="28"/>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_x0000_s3092" o:spid="_x0000_s1044" type="#_x0000_t202" style="position:absolute;left:0;margin-top:-8.25pt;height:144pt;width:144pt;mso-position-horizontal:outside;mso-position-horizontal-relative:margin;mso-wrap-style:none;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3093" o:spid="_x0000_s1045" type="#_x0000_t202" style="position:absolute;left:0;margin-top:0pt;height:144pt;width:144pt;mso-position-horizontal:outside;mso-position-horizontal-relative:margin;mso-wrap-style:none;rotation:0f;z-index:25167360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Times New Roman" w:hAnsi="Times New Roman"/>
                    <w:sz w:val="28"/>
                    <w:szCs w:val="2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2306382">
    <w:nsid w:val="5B5523CE"/>
    <w:multiLevelType w:val="singleLevel"/>
    <w:tmpl w:val="5B5523CE"/>
    <w:lvl w:ilvl="0" w:tentative="1">
      <w:start w:val="1"/>
      <w:numFmt w:val="decimal"/>
      <w:suff w:val="nothing"/>
      <w:lvlText w:val="%1."/>
      <w:lvlJc w:val="left"/>
    </w:lvl>
  </w:abstractNum>
  <w:abstractNum w:abstractNumId="1500626455">
    <w:nsid w:val="5971BE17"/>
    <w:multiLevelType w:val="singleLevel"/>
    <w:tmpl w:val="5971BE17"/>
    <w:lvl w:ilvl="0" w:tentative="1">
      <w:start w:val="1"/>
      <w:numFmt w:val="chineseCounting"/>
      <w:suff w:val="nothing"/>
      <w:lvlText w:val="%1、"/>
      <w:lvlJc w:val="left"/>
    </w:lvl>
  </w:abstractNum>
  <w:num w:numId="1">
    <w:abstractNumId w:val="1500626455"/>
  </w:num>
  <w:num w:numId="2">
    <w:abstractNumId w:val="15323063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paragraph" w:customStyle="1" w:styleId="8">
    <w:name w:val="p0"/>
    <w:basedOn w:val="1"/>
    <w:qFormat/>
    <w:uiPriority w:val="0"/>
    <w:pPr>
      <w:widowControl/>
    </w:pPr>
    <w:rPr>
      <w:kern w:val="0"/>
      <w:szCs w:val="21"/>
    </w:rPr>
  </w:style>
  <w:style w:type="paragraph" w:customStyle="1" w:styleId="9">
    <w:name w:val="List Paragraph"/>
    <w:basedOn w:val="1"/>
    <w:unhideWhenUsed/>
    <w:uiPriority w:val="99"/>
    <w:pPr>
      <w:ind w:firstLine="420" w:firstLineChars="200"/>
    </w:pPr>
  </w:style>
  <w:style w:type="character" w:customStyle="1" w:styleId="10">
    <w:name w:val="页眉 Char Char"/>
    <w:basedOn w:val="5"/>
    <w:link w:val="3"/>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footer" Target="footer9.xml"/><Relationship Id="rId13" Type="http://schemas.openxmlformats.org/officeDocument/2006/relationships/footer" Target="footer10.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2241</Words>
  <Characters>12778</Characters>
  <Lines>106</Lines>
  <Paragraphs>29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2018-10-30T01:43:00Z</dcterms:created>
  <dc:creator>PC</dc:creator>
  <cp:lastModifiedBy>Administrator</cp:lastModifiedBy>
  <dcterms:modified xsi:type="dcterms:W3CDTF">2018-11-28T01:40:02Z</dcterms:modified>
  <dc:title>郑州市粮食局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